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文星黑体" w:hAnsi="文星黑体" w:eastAsia="文星黑体" w:cs="文星黑体"/>
          <w:b w:val="0"/>
          <w:bCs w:val="0"/>
          <w:sz w:val="32"/>
          <w:szCs w:val="32"/>
          <w:lang w:val="en-US" w:eastAsia="zh-CN"/>
        </w:rPr>
      </w:pPr>
      <w:r>
        <w:rPr>
          <w:rFonts w:hint="eastAsia" w:ascii="文星黑体" w:hAnsi="文星黑体" w:eastAsia="文星黑体" w:cs="文星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文星标宋" w:hAnsi="文星标宋" w:eastAsia="文星标宋" w:cs="文星标宋"/>
          <w:b w:val="0"/>
          <w:bCs w:val="0"/>
          <w:sz w:val="44"/>
          <w:szCs w:val="44"/>
          <w:lang w:val="en-US" w:eastAsia="zh-CN"/>
        </w:rPr>
      </w:pPr>
      <w:r>
        <w:rPr>
          <w:rFonts w:hint="eastAsia" w:ascii="文星标宋" w:hAnsi="文星标宋" w:eastAsia="文星标宋" w:cs="文星标宋"/>
          <w:b w:val="0"/>
          <w:bCs w:val="0"/>
          <w:sz w:val="44"/>
          <w:szCs w:val="44"/>
          <w:lang w:val="en-US" w:eastAsia="zh-CN"/>
        </w:rPr>
        <w:t>夏邑县“米袋子”保障工作考核验收标准</w:t>
      </w:r>
    </w:p>
    <w:p>
      <w:pPr>
        <w:jc w:val="center"/>
        <w:rPr>
          <w:rFonts w:hint="eastAsia" w:ascii="仿宋" w:hAnsi="仿宋" w:eastAsia="仿宋" w:cs="仿宋"/>
          <w:b/>
          <w:bCs/>
          <w:sz w:val="36"/>
          <w:szCs w:val="36"/>
          <w:lang w:val="en-US" w:eastAsia="zh-CN"/>
        </w:rPr>
      </w:pPr>
    </w:p>
    <w:tbl>
      <w:tblPr>
        <w:tblStyle w:val="3"/>
        <w:tblW w:w="919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350"/>
        <w:gridCol w:w="4635"/>
        <w:gridCol w:w="73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0" w:type="dxa"/>
          </w:tcPr>
          <w:p>
            <w:pPr>
              <w:jc w:val="center"/>
              <w:rPr>
                <w:rFonts w:hint="eastAsia" w:ascii="文星仿宋" w:hAnsi="文星仿宋" w:eastAsia="文星仿宋" w:cs="文星仿宋"/>
                <w:b/>
                <w:bCs/>
                <w:sz w:val="24"/>
                <w:szCs w:val="24"/>
                <w:vertAlign w:val="baseline"/>
                <w:lang w:val="en-US" w:eastAsia="zh-CN"/>
              </w:rPr>
            </w:pPr>
            <w:r>
              <w:rPr>
                <w:rFonts w:hint="eastAsia" w:ascii="文星仿宋" w:hAnsi="文星仿宋" w:eastAsia="文星仿宋" w:cs="文星仿宋"/>
                <w:b/>
                <w:bCs/>
                <w:sz w:val="24"/>
                <w:szCs w:val="24"/>
                <w:vertAlign w:val="baseline"/>
                <w:lang w:val="en-US" w:eastAsia="zh-CN"/>
              </w:rPr>
              <w:t>一级指标</w:t>
            </w:r>
          </w:p>
        </w:tc>
        <w:tc>
          <w:tcPr>
            <w:tcW w:w="1350" w:type="dxa"/>
          </w:tcPr>
          <w:p>
            <w:pPr>
              <w:jc w:val="center"/>
              <w:rPr>
                <w:rFonts w:hint="eastAsia" w:ascii="文星仿宋" w:hAnsi="文星仿宋" w:eastAsia="文星仿宋" w:cs="文星仿宋"/>
                <w:b/>
                <w:bCs/>
                <w:sz w:val="24"/>
                <w:szCs w:val="24"/>
                <w:vertAlign w:val="baseline"/>
                <w:lang w:val="en-US" w:eastAsia="zh-CN"/>
              </w:rPr>
            </w:pPr>
            <w:r>
              <w:rPr>
                <w:rFonts w:hint="eastAsia" w:ascii="文星仿宋" w:hAnsi="文星仿宋" w:eastAsia="文星仿宋" w:cs="文星仿宋"/>
                <w:b/>
                <w:bCs/>
                <w:sz w:val="24"/>
                <w:szCs w:val="24"/>
                <w:vertAlign w:val="baseline"/>
                <w:lang w:val="en-US" w:eastAsia="zh-CN"/>
              </w:rPr>
              <w:t>二级指标</w:t>
            </w:r>
          </w:p>
        </w:tc>
        <w:tc>
          <w:tcPr>
            <w:tcW w:w="4635" w:type="dxa"/>
          </w:tcPr>
          <w:p>
            <w:pPr>
              <w:jc w:val="center"/>
              <w:rPr>
                <w:rFonts w:hint="eastAsia" w:ascii="文星仿宋" w:hAnsi="文星仿宋" w:eastAsia="文星仿宋" w:cs="文星仿宋"/>
                <w:b/>
                <w:bCs/>
                <w:sz w:val="24"/>
                <w:szCs w:val="24"/>
                <w:vertAlign w:val="baseline"/>
                <w:lang w:val="en-US" w:eastAsia="zh-CN"/>
              </w:rPr>
            </w:pPr>
            <w:r>
              <w:rPr>
                <w:rFonts w:hint="eastAsia" w:ascii="文星仿宋" w:hAnsi="文星仿宋" w:eastAsia="文星仿宋" w:cs="文星仿宋"/>
                <w:b/>
                <w:bCs/>
                <w:sz w:val="24"/>
                <w:szCs w:val="24"/>
                <w:vertAlign w:val="baseline"/>
                <w:lang w:val="en-US" w:eastAsia="zh-CN"/>
              </w:rPr>
              <w:t>考核内容</w:t>
            </w:r>
          </w:p>
        </w:tc>
        <w:tc>
          <w:tcPr>
            <w:tcW w:w="735" w:type="dxa"/>
          </w:tcPr>
          <w:p>
            <w:pPr>
              <w:jc w:val="center"/>
              <w:rPr>
                <w:rFonts w:hint="eastAsia" w:ascii="文星仿宋" w:hAnsi="文星仿宋" w:eastAsia="文星仿宋" w:cs="文星仿宋"/>
                <w:b/>
                <w:bCs/>
                <w:sz w:val="24"/>
                <w:szCs w:val="24"/>
                <w:vertAlign w:val="baseline"/>
                <w:lang w:val="en-US" w:eastAsia="zh-CN"/>
              </w:rPr>
            </w:pPr>
            <w:r>
              <w:rPr>
                <w:rFonts w:hint="eastAsia" w:ascii="文星仿宋" w:hAnsi="文星仿宋" w:eastAsia="文星仿宋" w:cs="文星仿宋"/>
                <w:b/>
                <w:bCs/>
                <w:sz w:val="24"/>
                <w:szCs w:val="24"/>
                <w:vertAlign w:val="baseline"/>
                <w:lang w:val="en-US" w:eastAsia="zh-CN"/>
              </w:rPr>
              <w:t>分值</w:t>
            </w:r>
          </w:p>
        </w:tc>
        <w:tc>
          <w:tcPr>
            <w:tcW w:w="1247" w:type="dxa"/>
          </w:tcPr>
          <w:p>
            <w:pPr>
              <w:jc w:val="center"/>
              <w:rPr>
                <w:rFonts w:hint="eastAsia" w:ascii="文星仿宋" w:hAnsi="文星仿宋" w:eastAsia="文星仿宋" w:cs="文星仿宋"/>
                <w:b/>
                <w:bCs/>
                <w:sz w:val="24"/>
                <w:szCs w:val="24"/>
                <w:vertAlign w:val="baseline"/>
                <w:lang w:val="en-US" w:eastAsia="zh-CN"/>
              </w:rPr>
            </w:pPr>
            <w:r>
              <w:rPr>
                <w:rFonts w:hint="eastAsia" w:ascii="文星仿宋" w:hAnsi="文星仿宋" w:eastAsia="文星仿宋" w:cs="文星仿宋"/>
                <w:b/>
                <w:bCs/>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23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组织制度（10分）</w:t>
            </w: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健全机制（10分）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结合本地情况制定工作方案，建立工作机制，定期召开会议，推动工作开展。</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10分</w:t>
            </w:r>
          </w:p>
        </w:tc>
        <w:tc>
          <w:tcPr>
            <w:tcW w:w="1247"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各乡镇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县农业农村局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230"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生产能力（50分）</w:t>
            </w: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粮食播种面积（20分）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以国家统计局商丘调查队和县统计局公布的各乡镇2020年粮食作物播种面积为准，与2019年相比，以20分为基数，每增加或减少1个百分点，增加或扣减2分。</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20分</w:t>
            </w:r>
          </w:p>
        </w:tc>
        <w:tc>
          <w:tcPr>
            <w:tcW w:w="1247"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230"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粮食产量（20分）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以国家统计局商丘调查队和县统计局公布的各乡镇2020年粮食粮食产量为准，与2019年相比，以20分为基数，每增加或减少1个百分点，增加或扣减2分。</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20分</w:t>
            </w:r>
          </w:p>
        </w:tc>
        <w:tc>
          <w:tcPr>
            <w:tcW w:w="1247"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230"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优质专用小麦面积（10分）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以县农业农村局下达各乡镇的优质专用小麦种植计划为基数，在10分的基础上，每增加或减少1个百分点，增加或扣减1分。</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10分</w:t>
            </w:r>
          </w:p>
        </w:tc>
        <w:tc>
          <w:tcPr>
            <w:tcW w:w="1247"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30"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市场流通能力（40分）</w:t>
            </w: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粮食收购量（25分）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全县全社会2020年市场化粮食收购量。按照该项目的标准分值乘以实际完成百分比计算，完成百分比超过150%的，按150%计算，未完成的按实际完成比率计算。</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25分</w:t>
            </w:r>
          </w:p>
        </w:tc>
        <w:tc>
          <w:tcPr>
            <w:tcW w:w="1247"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color w:val="auto"/>
                <w:sz w:val="24"/>
                <w:szCs w:val="24"/>
                <w:vertAlign w:val="baseline"/>
                <w:lang w:val="en-US" w:eastAsia="zh-CN"/>
              </w:rPr>
            </w:pPr>
            <w:r>
              <w:rPr>
                <w:rFonts w:hint="eastAsia" w:ascii="文星仿宋" w:hAnsi="文星仿宋" w:eastAsia="文星仿宋" w:cs="文星仿宋"/>
                <w:b w:val="0"/>
                <w:bCs w:val="0"/>
                <w:color w:val="auto"/>
                <w:sz w:val="24"/>
                <w:szCs w:val="24"/>
                <w:vertAlign w:val="baseline"/>
                <w:lang w:val="en-US" w:eastAsia="zh-CN"/>
              </w:rPr>
              <w:t>县粮食部门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230"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sz w:val="24"/>
                <w:szCs w:val="24"/>
                <w:vertAlign w:val="baseline"/>
                <w:lang w:val="en-US" w:eastAsia="zh-CN"/>
              </w:rPr>
            </w:pPr>
          </w:p>
        </w:tc>
        <w:tc>
          <w:tcPr>
            <w:tcW w:w="13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sz w:val="24"/>
                <w:szCs w:val="24"/>
                <w:vertAlign w:val="baseline"/>
                <w:lang w:val="en-US" w:eastAsia="zh-CN"/>
              </w:rPr>
            </w:pPr>
            <w:r>
              <w:rPr>
                <w:rFonts w:hint="eastAsia" w:ascii="文星仿宋" w:hAnsi="文星仿宋" w:eastAsia="文星仿宋" w:cs="文星仿宋"/>
                <w:b w:val="0"/>
                <w:bCs w:val="0"/>
                <w:sz w:val="24"/>
                <w:szCs w:val="24"/>
                <w:vertAlign w:val="baseline"/>
                <w:lang w:val="en-US" w:eastAsia="zh-CN"/>
              </w:rPr>
              <w:t>优质粮食工程（15分）</w:t>
            </w:r>
          </w:p>
        </w:tc>
        <w:tc>
          <w:tcPr>
            <w:tcW w:w="4635"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文星仿宋" w:hAnsi="文星仿宋" w:eastAsia="文星仿宋" w:cs="文星仿宋"/>
                <w:b w:val="0"/>
                <w:bCs w:val="0"/>
                <w:sz w:val="24"/>
                <w:szCs w:val="24"/>
                <w:vertAlign w:val="baseline"/>
                <w:lang w:val="en-US" w:eastAsia="zh-CN"/>
              </w:rPr>
            </w:pPr>
            <w:r>
              <w:rPr>
                <w:rFonts w:hint="eastAsia" w:ascii="文星仿宋" w:hAnsi="文星仿宋" w:eastAsia="文星仿宋" w:cs="文星仿宋"/>
                <w:b w:val="0"/>
                <w:bCs w:val="0"/>
                <w:sz w:val="24"/>
                <w:szCs w:val="24"/>
                <w:vertAlign w:val="baseline"/>
                <w:lang w:val="en-US" w:eastAsia="zh-CN"/>
              </w:rPr>
              <w:t>优质粮食工程全部项目完工率每减少5%扣1分，扣完为止。</w:t>
            </w:r>
          </w:p>
        </w:tc>
        <w:tc>
          <w:tcPr>
            <w:tcW w:w="73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sz w:val="24"/>
                <w:szCs w:val="24"/>
                <w:vertAlign w:val="baseline"/>
                <w:lang w:val="en-US" w:eastAsia="zh-CN"/>
              </w:rPr>
            </w:pPr>
            <w:r>
              <w:rPr>
                <w:rFonts w:hint="eastAsia" w:ascii="文星仿宋" w:hAnsi="文星仿宋" w:eastAsia="文星仿宋" w:cs="文星仿宋"/>
                <w:b w:val="0"/>
                <w:bCs w:val="0"/>
                <w:sz w:val="24"/>
                <w:szCs w:val="24"/>
                <w:vertAlign w:val="baseline"/>
                <w:lang w:val="en-US" w:eastAsia="zh-CN"/>
              </w:rPr>
              <w:t>15分</w:t>
            </w:r>
          </w:p>
        </w:tc>
        <w:tc>
          <w:tcPr>
            <w:tcW w:w="1247" w:type="dxa"/>
            <w:vMerge w:val="continue"/>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hAnsi="文星仿宋" w:eastAsia="文星仿宋" w:cs="文星仿宋"/>
                <w:b w:val="0"/>
                <w:bCs w:val="0"/>
                <w:sz w:val="24"/>
                <w:szCs w:val="24"/>
                <w:vertAlign w:val="baseline"/>
                <w:lang w:val="en-US" w:eastAsia="zh-CN"/>
              </w:rPr>
            </w:pPr>
          </w:p>
        </w:tc>
      </w:tr>
    </w:tbl>
    <w:p>
      <w:pPr>
        <w:rPr>
          <w:rFonts w:hint="eastAsia" w:ascii="仿宋" w:hAnsi="仿宋" w:eastAsia="仿宋" w:cs="仿宋"/>
          <w:sz w:val="32"/>
          <w:szCs w:val="32"/>
          <w:lang w:val="en-US" w:eastAsia="zh-CN"/>
        </w:rPr>
      </w:pPr>
    </w:p>
    <w:p>
      <w:pPr>
        <w:rPr>
          <w:rFonts w:hint="default"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附件2</w:t>
      </w:r>
    </w:p>
    <w:p>
      <w:pPr>
        <w:jc w:val="center"/>
        <w:rPr>
          <w:rFonts w:hint="eastAsia" w:ascii="文星标宋" w:hAnsi="文星标宋" w:eastAsia="文星标宋" w:cs="文星标宋"/>
          <w:b w:val="0"/>
          <w:bCs w:val="0"/>
          <w:sz w:val="44"/>
          <w:szCs w:val="44"/>
        </w:rPr>
      </w:pPr>
      <w:r>
        <w:rPr>
          <w:rFonts w:hint="eastAsia" w:ascii="文星标宋" w:hAnsi="文星标宋" w:eastAsia="文星标宋" w:cs="文星标宋"/>
          <w:b w:val="0"/>
          <w:bCs w:val="0"/>
          <w:sz w:val="44"/>
          <w:szCs w:val="44"/>
        </w:rPr>
        <w:t>夏邑县粮食作物播种面积分解表</w:t>
      </w:r>
    </w:p>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b/>
          <w:bCs/>
          <w:sz w:val="24"/>
          <w:szCs w:val="24"/>
          <w:lang w:val="en-US" w:eastAsia="zh-CN"/>
        </w:rPr>
      </w:pPr>
      <w:r>
        <w:rPr>
          <w:rFonts w:hint="eastAsia" w:ascii="文星仿宋" w:hAnsi="文星仿宋" w:eastAsia="文星仿宋" w:cs="文星仿宋"/>
          <w:b w:val="0"/>
          <w:bCs w:val="0"/>
          <w:sz w:val="24"/>
          <w:szCs w:val="24"/>
          <w:lang w:val="en-US" w:eastAsia="zh-CN"/>
        </w:rPr>
        <w:t xml:space="preserve">                                                       单位：亩</w:t>
      </w:r>
    </w:p>
    <w:tbl>
      <w:tblPr>
        <w:tblStyle w:val="2"/>
        <w:tblW w:w="8538" w:type="dxa"/>
        <w:tblInd w:w="0" w:type="dxa"/>
        <w:shd w:val="clear" w:color="auto" w:fill="auto"/>
        <w:tblLayout w:type="autofit"/>
        <w:tblCellMar>
          <w:top w:w="0" w:type="dxa"/>
          <w:left w:w="0" w:type="dxa"/>
          <w:bottom w:w="0" w:type="dxa"/>
          <w:right w:w="0" w:type="dxa"/>
        </w:tblCellMar>
      </w:tblPr>
      <w:tblGrid>
        <w:gridCol w:w="1012"/>
        <w:gridCol w:w="1640"/>
        <w:gridCol w:w="2113"/>
        <w:gridCol w:w="1536"/>
        <w:gridCol w:w="2237"/>
      </w:tblGrid>
      <w:tr>
        <w:tblPrEx>
          <w:shd w:val="clear" w:color="auto" w:fill="auto"/>
          <w:tblCellMar>
            <w:top w:w="0" w:type="dxa"/>
            <w:left w:w="0" w:type="dxa"/>
            <w:bottom w:w="0" w:type="dxa"/>
            <w:right w:w="0" w:type="dxa"/>
          </w:tblCellMar>
        </w:tblPrEx>
        <w:trPr>
          <w:trHeight w:val="433"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bCs/>
                <w:i w:val="0"/>
                <w:color w:val="000000"/>
                <w:sz w:val="24"/>
                <w:szCs w:val="24"/>
                <w:u w:val="none"/>
              </w:rPr>
            </w:pPr>
            <w:r>
              <w:rPr>
                <w:rFonts w:hint="eastAsia" w:ascii="文星仿宋" w:hAnsi="文星仿宋" w:eastAsia="文星仿宋" w:cs="文星仿宋"/>
                <w:b/>
                <w:bCs/>
                <w:i w:val="0"/>
                <w:color w:val="000000"/>
                <w:kern w:val="0"/>
                <w:sz w:val="24"/>
                <w:szCs w:val="24"/>
                <w:u w:val="none"/>
                <w:lang w:val="en-US" w:eastAsia="zh-CN" w:bidi="ar"/>
              </w:rPr>
              <w:t>乡镇</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bCs/>
                <w:i w:val="0"/>
                <w:color w:val="000000"/>
                <w:sz w:val="24"/>
                <w:szCs w:val="24"/>
                <w:u w:val="none"/>
              </w:rPr>
            </w:pPr>
            <w:r>
              <w:rPr>
                <w:rFonts w:hint="eastAsia" w:ascii="文星仿宋" w:hAnsi="文星仿宋" w:eastAsia="文星仿宋" w:cs="文星仿宋"/>
                <w:b/>
                <w:bCs/>
                <w:i w:val="0"/>
                <w:color w:val="000000"/>
                <w:kern w:val="0"/>
                <w:sz w:val="24"/>
                <w:szCs w:val="24"/>
                <w:u w:val="none"/>
                <w:lang w:val="en-US" w:eastAsia="zh-CN" w:bidi="ar"/>
              </w:rPr>
              <w:t>夏粮</w:t>
            </w: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bCs/>
                <w:i w:val="0"/>
                <w:color w:val="000000"/>
                <w:sz w:val="24"/>
                <w:szCs w:val="24"/>
                <w:u w:val="none"/>
              </w:rPr>
            </w:pPr>
            <w:r>
              <w:rPr>
                <w:rFonts w:hint="eastAsia" w:ascii="文星仿宋" w:hAnsi="文星仿宋" w:eastAsia="文星仿宋" w:cs="文星仿宋"/>
                <w:b/>
                <w:bCs/>
                <w:i w:val="0"/>
                <w:color w:val="000000"/>
                <w:kern w:val="0"/>
                <w:sz w:val="24"/>
                <w:szCs w:val="24"/>
                <w:u w:val="none"/>
                <w:lang w:val="en-US" w:eastAsia="zh-CN" w:bidi="ar"/>
              </w:rPr>
              <w:t>优质专用小麦</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bCs/>
                <w:i w:val="0"/>
                <w:color w:val="000000"/>
                <w:sz w:val="24"/>
                <w:szCs w:val="24"/>
                <w:u w:val="none"/>
              </w:rPr>
            </w:pPr>
            <w:r>
              <w:rPr>
                <w:rFonts w:hint="eastAsia" w:ascii="文星仿宋" w:hAnsi="文星仿宋" w:eastAsia="文星仿宋" w:cs="文星仿宋"/>
                <w:b/>
                <w:bCs/>
                <w:i w:val="0"/>
                <w:color w:val="000000"/>
                <w:kern w:val="0"/>
                <w:sz w:val="24"/>
                <w:szCs w:val="24"/>
                <w:u w:val="none"/>
                <w:lang w:val="en-US" w:eastAsia="zh-CN" w:bidi="ar"/>
              </w:rPr>
              <w:t>秋粮</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bCs/>
                <w:i w:val="0"/>
                <w:color w:val="000000"/>
                <w:sz w:val="24"/>
                <w:szCs w:val="24"/>
                <w:u w:val="none"/>
              </w:rPr>
            </w:pPr>
            <w:r>
              <w:rPr>
                <w:rFonts w:hint="eastAsia" w:ascii="文星仿宋" w:hAnsi="文星仿宋" w:eastAsia="文星仿宋" w:cs="文星仿宋"/>
                <w:b/>
                <w:bCs/>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城关镇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7230.0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418</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会亭镇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64970.0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64365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4291</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马头镇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44334.0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42765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2851</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济阳镇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46144.5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42825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2855</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李集镇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97620.0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49635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3309</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车站镇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61290.0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60750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4050</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杨集镇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59319.5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61290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4086</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韩道口镇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58545.0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66195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4413</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太平镇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65115.0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68391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4559.4</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罗庄镇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43530.0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40065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2671</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火店镇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53400.0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49050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3270</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北岭镇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37125.0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2870</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郭店镇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50673.0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59298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3953.2</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曹集乡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25035.0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25149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1676.6</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胡桥乡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66495.0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66795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4453</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歧河乡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58500.0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50077.5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3338.5</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业庙乡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70224.0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69550.95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4636.73</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中峰乡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37590.0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37140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2476</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桑堌乡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61953.9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61927.05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4128.47</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何营乡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32035.1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36205.05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2413.67</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王集乡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55234.5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48418.5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3227.9</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刘店集乡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31810.5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30120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2008</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骆集乡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57090.0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56325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3755</w:t>
            </w:r>
          </w:p>
        </w:tc>
      </w:tr>
      <w:tr>
        <w:tblPrEx>
          <w:shd w:val="clear" w:color="auto" w:fill="auto"/>
          <w:tblCellMar>
            <w:top w:w="0" w:type="dxa"/>
            <w:left w:w="0" w:type="dxa"/>
            <w:bottom w:w="0" w:type="dxa"/>
            <w:right w:w="0" w:type="dxa"/>
          </w:tblCellMar>
        </w:tblPrEx>
        <w:trPr>
          <w:trHeight w:val="4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孔庄乡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63270.0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64027.5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4268.5</w:t>
            </w:r>
          </w:p>
        </w:tc>
      </w:tr>
      <w:tr>
        <w:tblPrEx>
          <w:shd w:val="clear" w:color="auto" w:fill="auto"/>
          <w:tblCellMar>
            <w:top w:w="0" w:type="dxa"/>
            <w:left w:w="0" w:type="dxa"/>
            <w:bottom w:w="0" w:type="dxa"/>
            <w:right w:w="0" w:type="dxa"/>
          </w:tblCellMar>
        </w:tblPrEx>
        <w:trPr>
          <w:trHeight w:val="4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 xml:space="preserve">1248533.9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1199684.55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79978.97</w:t>
            </w:r>
          </w:p>
        </w:tc>
      </w:tr>
    </w:tbl>
    <w:p>
      <w:pPr>
        <w:rPr>
          <w:rFonts w:hint="eastAsia" w:ascii="文星黑体" w:hAnsi="文星黑体" w:eastAsia="文星黑体" w:cs="文星黑体"/>
          <w:sz w:val="32"/>
          <w:szCs w:val="32"/>
          <w:lang w:val="en-US" w:eastAsia="zh-CN"/>
        </w:rPr>
      </w:pPr>
      <w:r>
        <w:rPr>
          <w:rFonts w:hint="eastAsia" w:ascii="文星黑体" w:hAnsi="文星黑体" w:eastAsia="文星黑体" w:cs="文星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文星标宋" w:hAnsi="文星标宋" w:eastAsia="文星标宋" w:cs="文星标宋"/>
          <w:b w:val="0"/>
          <w:bCs w:val="0"/>
          <w:sz w:val="44"/>
          <w:szCs w:val="44"/>
          <w:lang w:val="en-US" w:eastAsia="zh-CN"/>
        </w:rPr>
      </w:pPr>
      <w:r>
        <w:rPr>
          <w:rFonts w:hint="eastAsia" w:ascii="文星标宋" w:hAnsi="文星标宋" w:eastAsia="文星标宋" w:cs="文星标宋"/>
          <w:b w:val="0"/>
          <w:bCs w:val="0"/>
          <w:sz w:val="44"/>
          <w:szCs w:val="44"/>
          <w:lang w:val="en-US" w:eastAsia="zh-CN"/>
        </w:rPr>
        <w:t xml:space="preserve"> 夏邑县“菜篮子”保障工作考核验收标准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val="0"/>
          <w:bCs w:val="0"/>
          <w:sz w:val="44"/>
          <w:szCs w:val="44"/>
          <w:lang w:val="en-US" w:eastAsia="zh-CN"/>
        </w:rPr>
      </w:pPr>
    </w:p>
    <w:tbl>
      <w:tblPr>
        <w:tblStyle w:val="2"/>
        <w:tblW w:w="8808" w:type="dxa"/>
        <w:tblInd w:w="0" w:type="dxa"/>
        <w:shd w:val="clear" w:color="auto" w:fill="auto"/>
        <w:tblLayout w:type="fixed"/>
        <w:tblCellMar>
          <w:top w:w="0" w:type="dxa"/>
          <w:left w:w="0" w:type="dxa"/>
          <w:bottom w:w="0" w:type="dxa"/>
          <w:right w:w="0" w:type="dxa"/>
        </w:tblCellMar>
      </w:tblPr>
      <w:tblGrid>
        <w:gridCol w:w="1141"/>
        <w:gridCol w:w="1182"/>
        <w:gridCol w:w="4553"/>
        <w:gridCol w:w="780"/>
        <w:gridCol w:w="1152"/>
      </w:tblGrid>
      <w:tr>
        <w:tblPrEx>
          <w:shd w:val="clear" w:color="auto" w:fill="auto"/>
          <w:tblCellMar>
            <w:top w:w="0" w:type="dxa"/>
            <w:left w:w="0" w:type="dxa"/>
            <w:bottom w:w="0" w:type="dxa"/>
            <w:right w:w="0" w:type="dxa"/>
          </w:tblCellMar>
        </w:tblPrEx>
        <w:trPr>
          <w:trHeight w:val="524" w:hRule="atLeast"/>
        </w:trPr>
        <w:tc>
          <w:tcPr>
            <w:tcW w:w="11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i w:val="0"/>
                <w:color w:val="000000"/>
                <w:sz w:val="24"/>
                <w:szCs w:val="24"/>
                <w:u w:val="none"/>
              </w:rPr>
            </w:pPr>
            <w:r>
              <w:rPr>
                <w:rFonts w:hint="eastAsia" w:ascii="文星仿宋" w:hAnsi="文星仿宋" w:eastAsia="文星仿宋" w:cs="文星仿宋"/>
                <w:b/>
                <w:i w:val="0"/>
                <w:color w:val="000000"/>
                <w:kern w:val="0"/>
                <w:sz w:val="24"/>
                <w:szCs w:val="24"/>
                <w:u w:val="none"/>
                <w:lang w:val="en-US" w:eastAsia="zh-CN" w:bidi="ar"/>
              </w:rPr>
              <w:t>一级指标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i w:val="0"/>
                <w:color w:val="000000"/>
                <w:sz w:val="24"/>
                <w:szCs w:val="24"/>
                <w:u w:val="none"/>
              </w:rPr>
            </w:pPr>
            <w:r>
              <w:rPr>
                <w:rFonts w:hint="eastAsia" w:ascii="文星仿宋" w:hAnsi="文星仿宋" w:eastAsia="文星仿宋" w:cs="文星仿宋"/>
                <w:b/>
                <w:i w:val="0"/>
                <w:color w:val="000000"/>
                <w:kern w:val="0"/>
                <w:sz w:val="24"/>
                <w:szCs w:val="24"/>
                <w:u w:val="none"/>
                <w:lang w:val="en-US" w:eastAsia="zh-CN" w:bidi="ar"/>
              </w:rPr>
              <w:t>二级指标</w:t>
            </w:r>
          </w:p>
        </w:tc>
        <w:tc>
          <w:tcPr>
            <w:tcW w:w="4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i w:val="0"/>
                <w:color w:val="000000"/>
                <w:sz w:val="24"/>
                <w:szCs w:val="24"/>
                <w:u w:val="none"/>
              </w:rPr>
            </w:pPr>
            <w:r>
              <w:rPr>
                <w:rFonts w:hint="eastAsia" w:ascii="文星仿宋" w:hAnsi="文星仿宋" w:eastAsia="文星仿宋" w:cs="文星仿宋"/>
                <w:b/>
                <w:i w:val="0"/>
                <w:color w:val="000000"/>
                <w:kern w:val="0"/>
                <w:sz w:val="24"/>
                <w:szCs w:val="24"/>
                <w:u w:val="none"/>
                <w:lang w:val="en-US" w:eastAsia="zh-CN" w:bidi="ar"/>
              </w:rPr>
              <w:t>考核内容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i w:val="0"/>
                <w:color w:val="000000"/>
                <w:sz w:val="24"/>
                <w:szCs w:val="24"/>
                <w:u w:val="none"/>
              </w:rPr>
            </w:pPr>
            <w:r>
              <w:rPr>
                <w:rFonts w:hint="eastAsia" w:ascii="文星仿宋" w:hAnsi="文星仿宋" w:eastAsia="文星仿宋" w:cs="文星仿宋"/>
                <w:b/>
                <w:i w:val="0"/>
                <w:color w:val="000000"/>
                <w:kern w:val="0"/>
                <w:sz w:val="24"/>
                <w:szCs w:val="24"/>
                <w:u w:val="none"/>
                <w:lang w:val="en-US" w:eastAsia="zh-CN" w:bidi="ar"/>
              </w:rPr>
              <w:t>分值</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b/>
                <w:i w:val="0"/>
                <w:color w:val="000000"/>
                <w:sz w:val="24"/>
                <w:szCs w:val="24"/>
                <w:u w:val="none"/>
              </w:rPr>
            </w:pPr>
            <w:r>
              <w:rPr>
                <w:rFonts w:hint="eastAsia" w:ascii="文星仿宋" w:hAnsi="文星仿宋" w:eastAsia="文星仿宋" w:cs="文星仿宋"/>
                <w:b/>
                <w:i w:val="0"/>
                <w:color w:val="000000"/>
                <w:kern w:val="0"/>
                <w:sz w:val="24"/>
                <w:szCs w:val="24"/>
                <w:u w:val="none"/>
                <w:lang w:val="en-US" w:eastAsia="zh-CN" w:bidi="ar"/>
              </w:rPr>
              <w:t>责任单位</w:t>
            </w:r>
          </w:p>
        </w:tc>
      </w:tr>
      <w:tr>
        <w:tblPrEx>
          <w:shd w:val="clear" w:color="auto" w:fill="auto"/>
          <w:tblCellMar>
            <w:top w:w="0" w:type="dxa"/>
            <w:left w:w="0" w:type="dxa"/>
            <w:bottom w:w="0" w:type="dxa"/>
            <w:right w:w="0" w:type="dxa"/>
          </w:tblCellMar>
        </w:tblPrEx>
        <w:trPr>
          <w:trHeight w:val="848" w:hRule="atLeast"/>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组织制度</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（10分）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健全机制</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（5分）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夏邑县结合本地实际制定工作方案，建立工作机制，定期召开会议，推动工作开展。</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5分</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240" w:hanging="240" w:hangingChars="100"/>
              <w:jc w:val="center"/>
              <w:textAlignment w:val="center"/>
              <w:rPr>
                <w:rFonts w:hint="eastAsia" w:ascii="文星仿宋" w:hAnsi="文星仿宋" w:eastAsia="文星仿宋" w:cs="文星仿宋"/>
                <w:i w:val="0"/>
                <w:color w:val="000000"/>
                <w:kern w:val="0"/>
                <w:sz w:val="24"/>
                <w:szCs w:val="24"/>
                <w:u w:val="none"/>
                <w:lang w:val="en-US" w:eastAsia="zh-CN" w:bidi="ar"/>
              </w:rPr>
            </w:pPr>
            <w:r>
              <w:rPr>
                <w:rFonts w:hint="eastAsia" w:ascii="文星仿宋" w:hAnsi="文星仿宋" w:eastAsia="文星仿宋" w:cs="文星仿宋"/>
                <w:i w:val="0"/>
                <w:color w:val="000000"/>
                <w:kern w:val="0"/>
                <w:sz w:val="24"/>
                <w:szCs w:val="24"/>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400" w:lineRule="exact"/>
              <w:ind w:left="240" w:hanging="240" w:hangingChars="100"/>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农村局</w:t>
            </w:r>
          </w:p>
        </w:tc>
      </w:tr>
      <w:tr>
        <w:tblPrEx>
          <w:shd w:val="clear" w:color="auto" w:fill="auto"/>
          <w:tblCellMar>
            <w:top w:w="0" w:type="dxa"/>
            <w:left w:w="0" w:type="dxa"/>
            <w:bottom w:w="0" w:type="dxa"/>
            <w:right w:w="0" w:type="dxa"/>
          </w:tblCellMar>
        </w:tblPrEx>
        <w:trPr>
          <w:trHeight w:val="761"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政策措施</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（5分）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制定出台“菜篮子”工程建设指导意见（实施方案）或规划。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5分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tblCellMar>
            <w:top w:w="0" w:type="dxa"/>
            <w:left w:w="0" w:type="dxa"/>
            <w:bottom w:w="0" w:type="dxa"/>
            <w:right w:w="0" w:type="dxa"/>
          </w:tblCellMar>
        </w:tblPrEx>
        <w:trPr>
          <w:trHeight w:val="1500" w:hRule="atLeast"/>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生产能力</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（30分）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蔬菜产量</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（15分）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年度蔬菜及食用菌产量达到或超过市统计局公布的2017-2019年产量平均值95%的，得15分。每降低0.5个百分点扣1分，直至扣完。</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15分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tblCellMar>
            <w:top w:w="0" w:type="dxa"/>
            <w:left w:w="0" w:type="dxa"/>
            <w:bottom w:w="0" w:type="dxa"/>
            <w:right w:w="0" w:type="dxa"/>
          </w:tblCellMar>
        </w:tblPrEx>
        <w:trPr>
          <w:trHeight w:val="1470"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生猪</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出栏量</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（15分）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以县统计局公布数据为准，2020年生猪出栏量达到2017年的85%及以上得15分，每低1个百分点减1分，直至扣完。</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15分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shd w:val="clear" w:color="auto" w:fill="auto"/>
          <w:tblCellMar>
            <w:top w:w="0" w:type="dxa"/>
            <w:left w:w="0" w:type="dxa"/>
            <w:bottom w:w="0" w:type="dxa"/>
            <w:right w:w="0" w:type="dxa"/>
          </w:tblCellMar>
        </w:tblPrEx>
        <w:trPr>
          <w:trHeight w:val="1582" w:hRule="atLeast"/>
        </w:trPr>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价格调控</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（20分）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“菜篮子”</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价格稳控</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（20分）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根据县统计局提供的年度城市居民消费价格指数（CPI）中的食品价格指数。县发改委、物价办对我县“菜篮子”价格指数进行自评打分，确保在全市排名靠前。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20分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县发改委</w:t>
            </w:r>
          </w:p>
        </w:tc>
      </w:tr>
      <w:tr>
        <w:tblPrEx>
          <w:tblCellMar>
            <w:top w:w="0" w:type="dxa"/>
            <w:left w:w="0" w:type="dxa"/>
            <w:bottom w:w="0" w:type="dxa"/>
            <w:right w:w="0" w:type="dxa"/>
          </w:tblCellMar>
        </w:tblPrEx>
        <w:trPr>
          <w:trHeight w:val="1149" w:hRule="atLeast"/>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市场流通</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能力</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（20分）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建立储备</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投放制度</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（6分）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建立冻猪肉储备制度（3分）；</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制订猪肉储备投放方案（3分）。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6分</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县商务局</w:t>
            </w:r>
          </w:p>
        </w:tc>
      </w:tr>
      <w:tr>
        <w:tblPrEx>
          <w:shd w:val="clear" w:color="auto" w:fill="auto"/>
          <w:tblCellMar>
            <w:top w:w="0" w:type="dxa"/>
            <w:left w:w="0" w:type="dxa"/>
            <w:bottom w:w="0" w:type="dxa"/>
            <w:right w:w="0" w:type="dxa"/>
          </w:tblCellMar>
        </w:tblPrEx>
        <w:trPr>
          <w:trHeight w:val="1233"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落实冻猪</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肉储备量</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（8分）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完成县确定的冻猪肉储备任务量情况（完成50%以下不得力，完成50%-100%分别按比例乘以8分计算得分）。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8分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tblCellMar>
            <w:top w:w="0" w:type="dxa"/>
            <w:left w:w="0" w:type="dxa"/>
            <w:bottom w:w="0" w:type="dxa"/>
            <w:right w:w="0" w:type="dxa"/>
          </w:tblCellMar>
        </w:tblPrEx>
        <w:trPr>
          <w:trHeight w:val="1645"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市场建设</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（6分）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农产品批发市场或菜市场（农贸市场）纳入城市规划的（3分）；当地政府支持新建或升级改造菜市场（农贸市场）1个或1个以上的（3分）。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6分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县市场发</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展服务中</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心</w:t>
            </w:r>
          </w:p>
        </w:tc>
      </w:tr>
      <w:tr>
        <w:tblPrEx>
          <w:shd w:val="clear" w:color="auto" w:fill="auto"/>
          <w:tblCellMar>
            <w:top w:w="0" w:type="dxa"/>
            <w:left w:w="0" w:type="dxa"/>
            <w:bottom w:w="0" w:type="dxa"/>
            <w:right w:w="0" w:type="dxa"/>
          </w:tblCellMar>
        </w:tblPrEx>
        <w:trPr>
          <w:trHeight w:val="380" w:hRule="atLeast"/>
        </w:trPr>
        <w:tc>
          <w:tcPr>
            <w:tcW w:w="1141"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文星仿宋" w:hAnsi="文星仿宋" w:eastAsia="文星仿宋" w:cs="文星仿宋"/>
                <w:i w:val="0"/>
                <w:color w:val="000000"/>
                <w:sz w:val="24"/>
                <w:szCs w:val="24"/>
                <w:u w:val="none"/>
              </w:rPr>
            </w:pPr>
          </w:p>
        </w:tc>
        <w:tc>
          <w:tcPr>
            <w:tcW w:w="118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文星仿宋" w:hAnsi="文星仿宋" w:eastAsia="文星仿宋" w:cs="文星仿宋"/>
                <w:i w:val="0"/>
                <w:color w:val="000000"/>
                <w:sz w:val="24"/>
                <w:szCs w:val="24"/>
                <w:u w:val="none"/>
              </w:rPr>
            </w:pPr>
          </w:p>
        </w:tc>
        <w:tc>
          <w:tcPr>
            <w:tcW w:w="4553"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文星仿宋" w:hAnsi="文星仿宋" w:eastAsia="文星仿宋" w:cs="文星仿宋"/>
                <w:i w:val="0"/>
                <w:color w:val="000000"/>
                <w:sz w:val="24"/>
                <w:szCs w:val="24"/>
                <w:u w:val="none"/>
              </w:rPr>
            </w:pPr>
          </w:p>
        </w:tc>
        <w:tc>
          <w:tcPr>
            <w:tcW w:w="78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5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tblCellMar>
            <w:top w:w="0" w:type="dxa"/>
            <w:left w:w="0" w:type="dxa"/>
            <w:bottom w:w="0" w:type="dxa"/>
            <w:right w:w="0" w:type="dxa"/>
          </w:tblCellMar>
        </w:tblPrEx>
        <w:trPr>
          <w:trHeight w:val="1597" w:hRule="atLeast"/>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质量安</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全监管</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（10分）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建立入场</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销售者</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档案</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（3分）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建立入场销售者档案的集中市场达到100%，得3分，</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否则，不得分。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3分</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县市</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场监</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管局</w:t>
            </w:r>
          </w:p>
        </w:tc>
      </w:tr>
      <w:tr>
        <w:tblPrEx>
          <w:tblCellMar>
            <w:top w:w="0" w:type="dxa"/>
            <w:left w:w="0" w:type="dxa"/>
            <w:bottom w:w="0" w:type="dxa"/>
            <w:right w:w="0" w:type="dxa"/>
          </w:tblCellMar>
        </w:tblPrEx>
        <w:trPr>
          <w:trHeight w:val="1728"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入场销售</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者管理档</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案建立率</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（3分）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食用农产品集中交易入场销售者管理档案建立率达到100%，得3分；达到90%，得2.7分；低于90%分，不得分。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shd w:val="clear" w:color="auto" w:fill="auto"/>
          <w:tblCellMar>
            <w:top w:w="0" w:type="dxa"/>
            <w:left w:w="0" w:type="dxa"/>
            <w:bottom w:w="0" w:type="dxa"/>
            <w:right w:w="0" w:type="dxa"/>
          </w:tblCellMar>
        </w:tblPrEx>
        <w:trPr>
          <w:trHeight w:val="2355"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建立落实</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抽样检验</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（含快速</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检测）制</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度（4分）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食用农产品批发市场应自觉接受并配合市场监督管理部门组织实施的食品安全监督抽检、风险监测和食品快检工作，无拒检行为。建立抽样检验（含快速检测）制度的食用农产品批发市场达到100%，得4分，达到90%，得3.6分，低于90%，不得分；如出现拒检行为的，不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4分</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r>
      <w:tr>
        <w:tblPrEx>
          <w:shd w:val="clear" w:color="auto" w:fill="auto"/>
          <w:tblCellMar>
            <w:top w:w="0" w:type="dxa"/>
            <w:left w:w="0" w:type="dxa"/>
            <w:bottom w:w="0" w:type="dxa"/>
            <w:right w:w="0" w:type="dxa"/>
          </w:tblCellMar>
        </w:tblPrEx>
        <w:trPr>
          <w:trHeight w:val="1678" w:hRule="atLeast"/>
        </w:trPr>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困难群众</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价格补贴</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（10分）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落实补贴</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事项</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（4分）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按县统计局</w:t>
            </w:r>
            <w:bookmarkStart w:id="0" w:name="_GoBack"/>
            <w:bookmarkEnd w:id="0"/>
            <w:r>
              <w:rPr>
                <w:rFonts w:hint="eastAsia" w:ascii="文星仿宋" w:hAnsi="文星仿宋" w:eastAsia="文星仿宋" w:cs="文星仿宋"/>
                <w:i w:val="0"/>
                <w:color w:val="000000"/>
                <w:kern w:val="0"/>
                <w:sz w:val="24"/>
                <w:szCs w:val="24"/>
                <w:u w:val="none"/>
                <w:lang w:val="en-US" w:eastAsia="zh-CN" w:bidi="ar"/>
              </w:rPr>
              <w:t>提供的相关数据，当全县指数满足启动条件时，经市政府批准，可在全县范围内全面启动或中止价格补贴联动机制。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4分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县发改委</w:t>
            </w:r>
          </w:p>
        </w:tc>
      </w:tr>
      <w:tr>
        <w:tblPrEx>
          <w:tblCellMar>
            <w:top w:w="0" w:type="dxa"/>
            <w:left w:w="0" w:type="dxa"/>
            <w:bottom w:w="0" w:type="dxa"/>
            <w:right w:w="0" w:type="dxa"/>
          </w:tblCellMar>
        </w:tblPrEx>
        <w:trPr>
          <w:trHeight w:val="1628"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确定补贴</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资金</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（3分）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计算并确定符合条件的城乡低保对象和特困人员所需的补贴总金额，及时提交同级财政部门，并按时发放财政部门拨付的困难群众补贴资金。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县民政局</w:t>
            </w:r>
          </w:p>
        </w:tc>
      </w:tr>
      <w:tr>
        <w:tblPrEx>
          <w:shd w:val="clear" w:color="auto" w:fill="auto"/>
          <w:tblCellMar>
            <w:top w:w="0" w:type="dxa"/>
            <w:left w:w="0" w:type="dxa"/>
            <w:bottom w:w="0" w:type="dxa"/>
            <w:right w:w="0" w:type="dxa"/>
          </w:tblCellMar>
        </w:tblPrEx>
        <w:trPr>
          <w:trHeight w:val="1897" w:hRule="atLeast"/>
        </w:trPr>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文星仿宋" w:hAnsi="文星仿宋" w:eastAsia="文星仿宋" w:cs="文星仿宋"/>
                <w:i w:val="0"/>
                <w:color w:val="000000"/>
                <w:sz w:val="24"/>
                <w:szCs w:val="24"/>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按时足额</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发放</w:t>
            </w:r>
            <w:r>
              <w:rPr>
                <w:rFonts w:hint="eastAsia" w:ascii="文星仿宋" w:hAnsi="文星仿宋" w:eastAsia="文星仿宋" w:cs="文星仿宋"/>
                <w:i w:val="0"/>
                <w:color w:val="000000"/>
                <w:kern w:val="0"/>
                <w:sz w:val="24"/>
                <w:szCs w:val="24"/>
                <w:u w:val="none"/>
                <w:lang w:val="en-US" w:eastAsia="zh-CN" w:bidi="ar"/>
              </w:rPr>
              <w:br w:type="textWrapping"/>
            </w:r>
            <w:r>
              <w:rPr>
                <w:rFonts w:hint="eastAsia" w:ascii="文星仿宋" w:hAnsi="文星仿宋" w:eastAsia="文星仿宋" w:cs="文星仿宋"/>
                <w:i w:val="0"/>
                <w:color w:val="000000"/>
                <w:kern w:val="0"/>
                <w:sz w:val="24"/>
                <w:szCs w:val="24"/>
                <w:u w:val="none"/>
                <w:lang w:val="en-US" w:eastAsia="zh-CN" w:bidi="ar"/>
              </w:rPr>
              <w:t>（3分）</w:t>
            </w:r>
          </w:p>
        </w:tc>
        <w:tc>
          <w:tcPr>
            <w:tcW w:w="4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及时足额筹措资金拨付民政部门。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3分</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文星仿宋" w:hAnsi="文星仿宋" w:eastAsia="文星仿宋" w:cs="文星仿宋"/>
                <w:i w:val="0"/>
                <w:color w:val="000000"/>
                <w:sz w:val="24"/>
                <w:szCs w:val="24"/>
                <w:u w:val="none"/>
              </w:rPr>
            </w:pPr>
            <w:r>
              <w:rPr>
                <w:rFonts w:hint="eastAsia" w:ascii="文星仿宋" w:hAnsi="文星仿宋" w:eastAsia="文星仿宋" w:cs="文星仿宋"/>
                <w:i w:val="0"/>
                <w:color w:val="000000"/>
                <w:kern w:val="0"/>
                <w:sz w:val="24"/>
                <w:szCs w:val="24"/>
                <w:u w:val="none"/>
                <w:lang w:val="en-US" w:eastAsia="zh-CN" w:bidi="ar"/>
              </w:rPr>
              <w:t>县财政局</w:t>
            </w:r>
          </w:p>
        </w:tc>
      </w:tr>
    </w:tbl>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黑体">
    <w:panose1 w:val="02010604000101010101"/>
    <w:charset w:val="86"/>
    <w:family w:val="auto"/>
    <w:pitch w:val="default"/>
    <w:sig w:usb0="00000001" w:usb1="080E0000" w:usb2="00000000" w:usb3="00000000" w:csb0="00040001"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文星仿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51A00"/>
    <w:rsid w:val="00915971"/>
    <w:rsid w:val="028935B3"/>
    <w:rsid w:val="06FC531E"/>
    <w:rsid w:val="07634AC5"/>
    <w:rsid w:val="0D904426"/>
    <w:rsid w:val="0E5B1565"/>
    <w:rsid w:val="0ED51607"/>
    <w:rsid w:val="0EF63D6D"/>
    <w:rsid w:val="11191B3C"/>
    <w:rsid w:val="13B44CBB"/>
    <w:rsid w:val="14922BBF"/>
    <w:rsid w:val="14DE4463"/>
    <w:rsid w:val="164C13B3"/>
    <w:rsid w:val="17684387"/>
    <w:rsid w:val="1A145F9E"/>
    <w:rsid w:val="1A7B0730"/>
    <w:rsid w:val="1C517EBD"/>
    <w:rsid w:val="1C7F17C3"/>
    <w:rsid w:val="1D91162A"/>
    <w:rsid w:val="1FA46714"/>
    <w:rsid w:val="1FEB3505"/>
    <w:rsid w:val="22EC3E49"/>
    <w:rsid w:val="242E14EB"/>
    <w:rsid w:val="24884068"/>
    <w:rsid w:val="25BA4447"/>
    <w:rsid w:val="266D20DC"/>
    <w:rsid w:val="27596535"/>
    <w:rsid w:val="27B0716E"/>
    <w:rsid w:val="292D368A"/>
    <w:rsid w:val="2B251A00"/>
    <w:rsid w:val="2FB47624"/>
    <w:rsid w:val="30183F77"/>
    <w:rsid w:val="30B46E18"/>
    <w:rsid w:val="324F35A2"/>
    <w:rsid w:val="32D30BDC"/>
    <w:rsid w:val="32E5010D"/>
    <w:rsid w:val="33B67DEA"/>
    <w:rsid w:val="347C7EC4"/>
    <w:rsid w:val="353E1FEC"/>
    <w:rsid w:val="35817D75"/>
    <w:rsid w:val="3655473B"/>
    <w:rsid w:val="36606217"/>
    <w:rsid w:val="3B4E0CD2"/>
    <w:rsid w:val="3B856762"/>
    <w:rsid w:val="3EBC2037"/>
    <w:rsid w:val="410D26B1"/>
    <w:rsid w:val="4572156A"/>
    <w:rsid w:val="47486D56"/>
    <w:rsid w:val="476978FD"/>
    <w:rsid w:val="47DB41F4"/>
    <w:rsid w:val="49E2197D"/>
    <w:rsid w:val="4A1131A3"/>
    <w:rsid w:val="4A240F89"/>
    <w:rsid w:val="4BB000C6"/>
    <w:rsid w:val="4F5E6467"/>
    <w:rsid w:val="4FD647AF"/>
    <w:rsid w:val="51D10BBE"/>
    <w:rsid w:val="52532DD1"/>
    <w:rsid w:val="53BF46FE"/>
    <w:rsid w:val="571917A0"/>
    <w:rsid w:val="58DA1799"/>
    <w:rsid w:val="5A77237F"/>
    <w:rsid w:val="5D4D2857"/>
    <w:rsid w:val="5E410745"/>
    <w:rsid w:val="6037788B"/>
    <w:rsid w:val="60BF4DB1"/>
    <w:rsid w:val="634F64F9"/>
    <w:rsid w:val="64A01627"/>
    <w:rsid w:val="657D1D03"/>
    <w:rsid w:val="67CA20B7"/>
    <w:rsid w:val="68A11BA9"/>
    <w:rsid w:val="6B6348F7"/>
    <w:rsid w:val="6C170351"/>
    <w:rsid w:val="71626C4F"/>
    <w:rsid w:val="72D12968"/>
    <w:rsid w:val="73C84BE7"/>
    <w:rsid w:val="75581A15"/>
    <w:rsid w:val="764E1B66"/>
    <w:rsid w:val="79004496"/>
    <w:rsid w:val="797242E1"/>
    <w:rsid w:val="79B026FB"/>
    <w:rsid w:val="7B45348A"/>
    <w:rsid w:val="7B601D59"/>
    <w:rsid w:val="7DBC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paragraph" w:customStyle="1" w:styleId="6">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2020-06-02T00:30:00Z</dcterms:created>
  <dc:creator>1</dc:creator>
  <cp:lastModifiedBy>慧心</cp:lastModifiedBy>
  <cp:lastPrinted>2020-06-22T03:54:00Z</cp:lastPrinted>
  <dcterms:modified xsi:type="dcterms:W3CDTF">2020-07-06T02:52:32Z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