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rPr>
        <w:t>夏邑县</w:t>
      </w:r>
      <w:r>
        <w:rPr>
          <w:rFonts w:hint="eastAsia" w:ascii="方正小标宋简体" w:hAnsi="方正小标宋简体" w:eastAsia="方正小标宋简体" w:cs="方正小标宋简体"/>
          <w:b/>
          <w:bCs/>
          <w:sz w:val="36"/>
          <w:szCs w:val="36"/>
          <w:lang w:val="en-US" w:eastAsia="zh-CN"/>
        </w:rPr>
        <w:t>2020年度国家级</w:t>
      </w:r>
      <w:r>
        <w:rPr>
          <w:rFonts w:hint="eastAsia" w:ascii="方正小标宋简体" w:hAnsi="方正小标宋简体" w:eastAsia="方正小标宋简体" w:cs="方正小标宋简体"/>
          <w:b/>
          <w:bCs/>
          <w:sz w:val="36"/>
          <w:szCs w:val="36"/>
        </w:rPr>
        <w:t>电子商务进农村综合示范项目</w:t>
      </w:r>
      <w:r>
        <w:rPr>
          <w:rFonts w:hint="eastAsia" w:ascii="方正小标宋简体" w:hAnsi="方正小标宋简体" w:eastAsia="方正小标宋简体" w:cs="方正小标宋简体"/>
          <w:b/>
          <w:bCs/>
          <w:sz w:val="36"/>
          <w:szCs w:val="36"/>
          <w:lang w:val="en-US" w:eastAsia="zh-CN"/>
        </w:rPr>
        <w:t>工作进度（2022年9月）</w:t>
      </w:r>
    </w:p>
    <w:p>
      <w:pPr>
        <w:pStyle w:val="8"/>
        <w:ind w:firstLine="210"/>
        <w:rPr>
          <w:rFonts w:ascii="Times New Roman" w:hAnsi="Times New Roman" w:eastAsia="仿宋_GB2312"/>
        </w:rPr>
      </w:pPr>
    </w:p>
    <w:p>
      <w:pPr>
        <w:pStyle w:val="8"/>
        <w:adjustRightInd w:val="0"/>
        <w:snapToGrid w:val="0"/>
        <w:spacing w:before="312" w:beforeLines="100" w:after="0" w:line="360" w:lineRule="auto"/>
        <w:ind w:left="0" w:leftChars="0" w:firstLine="0" w:firstLineChars="0"/>
        <w:rPr>
          <w:rFonts w:ascii="黑体" w:hAnsi="黑体" w:eastAsia="黑体" w:cs="黑体"/>
          <w:b/>
          <w:bCs/>
          <w:sz w:val="28"/>
          <w:szCs w:val="28"/>
        </w:rPr>
      </w:pPr>
      <w:r>
        <w:rPr>
          <w:rFonts w:ascii="黑体" w:hAnsi="黑体" w:eastAsia="黑体" w:cs="黑体"/>
          <w:b/>
          <w:bCs/>
          <w:sz w:val="28"/>
          <w:szCs w:val="28"/>
        </w:rPr>
        <w:t>一、项目</w:t>
      </w:r>
      <w:r>
        <w:rPr>
          <w:rFonts w:hint="eastAsia" w:ascii="黑体" w:hAnsi="黑体" w:eastAsia="黑体" w:cs="黑体"/>
          <w:b/>
          <w:bCs/>
          <w:sz w:val="28"/>
          <w:szCs w:val="28"/>
          <w:lang w:eastAsia="zh-CN"/>
        </w:rPr>
        <w:t>整体进展</w:t>
      </w:r>
      <w:r>
        <w:rPr>
          <w:rFonts w:ascii="黑体" w:hAnsi="黑体" w:eastAsia="黑体" w:cs="黑体"/>
          <w:b/>
          <w:bCs/>
          <w:sz w:val="28"/>
          <w:szCs w:val="28"/>
        </w:rPr>
        <w:t>情况</w:t>
      </w:r>
    </w:p>
    <w:p>
      <w:pPr>
        <w:pStyle w:val="8"/>
        <w:adjustRightInd w:val="0"/>
        <w:snapToGrid w:val="0"/>
        <w:spacing w:after="0" w:line="360" w:lineRule="auto"/>
        <w:ind w:firstLine="640" w:firstLineChars="200"/>
        <w:rPr>
          <w:rFonts w:hint="eastAsia" w:ascii="Times New Roman" w:hAnsi="Times New Roman" w:eastAsia="仿宋_GB2312"/>
          <w:sz w:val="32"/>
          <w:szCs w:val="32"/>
          <w:lang w:val="en-US" w:eastAsia="zh-CN"/>
        </w:rPr>
      </w:pPr>
      <w:r>
        <w:rPr>
          <w:rFonts w:ascii="Times New Roman" w:hAnsi="Times New Roman" w:eastAsia="仿宋_GB2312"/>
          <w:sz w:val="32"/>
          <w:szCs w:val="32"/>
        </w:rPr>
        <w:t>夏邑县</w:t>
      </w:r>
      <w:r>
        <w:rPr>
          <w:rFonts w:hint="eastAsia" w:ascii="Times New Roman" w:hAnsi="Times New Roman" w:eastAsia="仿宋_GB2312"/>
          <w:sz w:val="32"/>
          <w:szCs w:val="32"/>
          <w:lang w:val="en-US" w:eastAsia="zh-CN"/>
        </w:rPr>
        <w:t>2020年度国家级</w:t>
      </w:r>
      <w:r>
        <w:rPr>
          <w:rFonts w:ascii="Times New Roman" w:hAnsi="Times New Roman" w:eastAsia="仿宋_GB2312"/>
          <w:sz w:val="32"/>
          <w:szCs w:val="32"/>
        </w:rPr>
        <w:t>电子商务进农村综合示范</w:t>
      </w:r>
      <w:r>
        <w:rPr>
          <w:rFonts w:hint="eastAsia" w:ascii="Times New Roman" w:hAnsi="Times New Roman" w:eastAsia="仿宋_GB2312"/>
          <w:sz w:val="32"/>
          <w:szCs w:val="32"/>
          <w:lang w:eastAsia="zh-CN"/>
        </w:rPr>
        <w:t>项目</w:t>
      </w:r>
      <w:r>
        <w:rPr>
          <w:rFonts w:ascii="Times New Roman" w:hAnsi="Times New Roman" w:eastAsia="仿宋_GB2312"/>
          <w:sz w:val="32"/>
          <w:szCs w:val="32"/>
        </w:rPr>
        <w:t>分四个标段，</w:t>
      </w:r>
      <w:r>
        <w:rPr>
          <w:rFonts w:hint="eastAsia" w:ascii="Times New Roman" w:hAnsi="Times New Roman" w:eastAsia="仿宋_GB2312"/>
          <w:sz w:val="32"/>
          <w:szCs w:val="32"/>
          <w:lang w:val="en-US" w:eastAsia="zh-CN"/>
        </w:rPr>
        <w:t>通过公开招标的形式确定了承办企业并签订了合同，</w:t>
      </w:r>
      <w:r>
        <w:rPr>
          <w:rFonts w:hint="eastAsia" w:ascii="Times New Roman" w:hAnsi="Times New Roman" w:eastAsia="仿宋_GB2312"/>
          <w:sz w:val="32"/>
          <w:szCs w:val="32"/>
          <w:lang w:eastAsia="zh-CN"/>
        </w:rPr>
        <w:t>合同总金额</w:t>
      </w:r>
      <w:r>
        <w:rPr>
          <w:rFonts w:hint="eastAsia" w:ascii="Times New Roman" w:hAnsi="Times New Roman" w:eastAsia="仿宋_GB2312"/>
          <w:sz w:val="32"/>
          <w:szCs w:val="32"/>
          <w:lang w:val="en-US" w:eastAsia="zh-CN"/>
        </w:rPr>
        <w:t>1489.3万元，其中中央财政资金1000万元，剩余为县财政资金。</w:t>
      </w:r>
    </w:p>
    <w:p>
      <w:pPr>
        <w:pStyle w:val="8"/>
        <w:adjustRightInd w:val="0"/>
        <w:snapToGrid w:val="0"/>
        <w:spacing w:after="0" w:line="360" w:lineRule="auto"/>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目前已累计拨付各承办企业7377120.5元，中央财政资金使用率为73.77%</w:t>
      </w:r>
    </w:p>
    <w:p>
      <w:pPr>
        <w:pStyle w:val="8"/>
        <w:adjustRightInd w:val="0"/>
        <w:snapToGrid w:val="0"/>
        <w:spacing w:before="312" w:beforeLines="100" w:after="0" w:line="360" w:lineRule="auto"/>
        <w:ind w:left="0" w:leftChars="0" w:firstLine="0" w:firstLineChars="0"/>
        <w:rPr>
          <w:rFonts w:hint="default" w:ascii="黑体" w:hAnsi="黑体" w:eastAsia="黑体" w:cs="黑体"/>
          <w:b/>
          <w:bCs/>
          <w:sz w:val="28"/>
          <w:szCs w:val="28"/>
          <w:lang w:val="en-US"/>
        </w:rPr>
      </w:pPr>
      <w:r>
        <w:rPr>
          <w:rFonts w:ascii="黑体" w:hAnsi="黑体" w:eastAsia="黑体" w:cs="黑体"/>
          <w:b/>
          <w:bCs/>
          <w:sz w:val="28"/>
          <w:szCs w:val="28"/>
        </w:rPr>
        <w:t>二、</w:t>
      </w:r>
      <w:r>
        <w:rPr>
          <w:rFonts w:hint="eastAsia" w:ascii="黑体" w:hAnsi="黑体" w:eastAsia="黑体" w:cs="黑体"/>
          <w:b/>
          <w:bCs/>
          <w:sz w:val="28"/>
          <w:szCs w:val="28"/>
          <w:lang w:val="en-US" w:eastAsia="zh-CN"/>
        </w:rPr>
        <w:t>项目具体进度</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（一）</w:t>
      </w:r>
      <w:r>
        <w:rPr>
          <w:rFonts w:hint="eastAsia" w:ascii="Times New Roman" w:hAnsi="Times New Roman" w:eastAsia="仿宋_GB2312"/>
          <w:b/>
          <w:bCs/>
          <w:sz w:val="32"/>
          <w:szCs w:val="32"/>
          <w:lang w:eastAsia="zh-CN"/>
        </w:rPr>
        <w:t>一标段：</w:t>
      </w:r>
      <w:r>
        <w:rPr>
          <w:rFonts w:hint="eastAsia" w:ascii="Times New Roman" w:hAnsi="Times New Roman" w:eastAsia="仿宋_GB2312"/>
          <w:b/>
          <w:bCs/>
          <w:sz w:val="32"/>
          <w:szCs w:val="32"/>
          <w:lang w:val="en-US" w:eastAsia="zh-CN"/>
        </w:rPr>
        <w:t>商丘融媒文化传播</w:t>
      </w:r>
      <w:r>
        <w:rPr>
          <w:rFonts w:ascii="Times New Roman" w:hAnsi="Times New Roman" w:eastAsia="仿宋_GB2312"/>
          <w:b/>
          <w:bCs/>
          <w:sz w:val="32"/>
          <w:szCs w:val="32"/>
        </w:rPr>
        <w:t>有限公司</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商丘融媒文化传播</w:t>
      </w:r>
      <w:r>
        <w:rPr>
          <w:rFonts w:ascii="Times New Roman" w:hAnsi="Times New Roman" w:eastAsia="仿宋_GB2312"/>
          <w:sz w:val="32"/>
          <w:szCs w:val="32"/>
        </w:rPr>
        <w:t>有限公司</w:t>
      </w:r>
      <w:r>
        <w:rPr>
          <w:rFonts w:hint="eastAsia" w:ascii="Times New Roman" w:hAnsi="Times New Roman" w:eastAsia="仿宋_GB2312"/>
          <w:sz w:val="32"/>
          <w:szCs w:val="32"/>
          <w:lang w:val="en-US" w:eastAsia="zh-CN"/>
        </w:rPr>
        <w:t>合同金额</w:t>
      </w:r>
      <w:r>
        <w:rPr>
          <w:rFonts w:hint="eastAsia" w:ascii="Times New Roman" w:hAnsi="Times New Roman" w:eastAsia="仿宋_GB2312"/>
          <w:sz w:val="32"/>
          <w:szCs w:val="32"/>
        </w:rPr>
        <w:t>44</w:t>
      </w:r>
      <w:r>
        <w:rPr>
          <w:rFonts w:hint="eastAsia" w:ascii="Times New Roman" w:hAnsi="Times New Roman" w:eastAsia="仿宋_GB2312"/>
          <w:sz w:val="32"/>
          <w:szCs w:val="32"/>
          <w:lang w:val="en-US" w:eastAsia="zh-CN"/>
        </w:rPr>
        <w:t>3万</w:t>
      </w:r>
      <w:r>
        <w:rPr>
          <w:rFonts w:ascii="Times New Roman" w:hAnsi="Times New Roman" w:eastAsia="仿宋_GB2312"/>
          <w:sz w:val="32"/>
          <w:szCs w:val="32"/>
        </w:rPr>
        <w:t>元，主要负责县级公共服务中心建设和运营、</w:t>
      </w:r>
      <w:r>
        <w:rPr>
          <w:rFonts w:hint="eastAsia" w:ascii="Times New Roman" w:hAnsi="Times New Roman" w:eastAsia="仿宋_GB2312"/>
          <w:sz w:val="32"/>
          <w:szCs w:val="32"/>
          <w:lang w:val="en-US" w:eastAsia="zh-CN"/>
        </w:rPr>
        <w:t>农产品上行、</w:t>
      </w:r>
      <w:r>
        <w:rPr>
          <w:rFonts w:ascii="Times New Roman" w:hAnsi="Times New Roman" w:eastAsia="仿宋_GB2312"/>
          <w:sz w:val="32"/>
          <w:szCs w:val="32"/>
        </w:rPr>
        <w:t>农村电商宣传</w:t>
      </w:r>
      <w:r>
        <w:rPr>
          <w:rFonts w:hint="eastAsia" w:ascii="Times New Roman" w:hAnsi="Times New Roman" w:eastAsia="仿宋_GB2312"/>
          <w:sz w:val="32"/>
          <w:szCs w:val="32"/>
          <w:lang w:eastAsia="zh-CN"/>
        </w:rPr>
        <w:t>、</w:t>
      </w:r>
      <w:r>
        <w:rPr>
          <w:rFonts w:ascii="Times New Roman" w:hAnsi="Times New Roman" w:eastAsia="仿宋_GB2312"/>
          <w:sz w:val="32"/>
          <w:szCs w:val="32"/>
        </w:rPr>
        <w:t>农产品电子商务供应链体系建设</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b w:val="0"/>
          <w:bCs w:val="0"/>
          <w:sz w:val="32"/>
          <w:szCs w:val="32"/>
          <w:lang w:eastAsia="zh-CN"/>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该企业预付款2972900</w:t>
      </w:r>
      <w:r>
        <w:rPr>
          <w:rFonts w:ascii="Times New Roman" w:hAnsi="Times New Roman" w:eastAsia="仿宋_GB2312"/>
          <w:sz w:val="32"/>
          <w:szCs w:val="32"/>
        </w:rPr>
        <w:t>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企业已入场作业</w:t>
      </w:r>
      <w:r>
        <w:rPr>
          <w:rFonts w:ascii="Times New Roman" w:hAnsi="Times New Roman" w:eastAsia="仿宋_GB2312"/>
          <w:sz w:val="32"/>
          <w:szCs w:val="32"/>
        </w:rPr>
        <w:t>。</w:t>
      </w:r>
      <w:r>
        <w:rPr>
          <w:rFonts w:hint="eastAsia" w:ascii="Times New Roman" w:hAnsi="Times New Roman" w:eastAsia="仿宋_GB2312"/>
          <w:b w:val="0"/>
          <w:bCs w:val="0"/>
          <w:sz w:val="32"/>
          <w:szCs w:val="32"/>
          <w:lang w:eastAsia="zh-CN"/>
        </w:rPr>
        <w:t>具体完成情况如下：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1.完成对夏邑县辣椒生产情况进行调研，重点调研了田大棒种植专业合作社的辣椒种植和生产情况，并联系对接田大棒种植专业合作社加入产品溯源系统。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43"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bCs/>
          <w:sz w:val="32"/>
          <w:szCs w:val="32"/>
          <w:lang w:val="en-US" w:eastAsia="zh-CN"/>
        </w:rPr>
        <w:t>2.</w:t>
      </w:r>
      <w:r>
        <w:rPr>
          <w:rFonts w:hint="eastAsia" w:ascii="仿宋" w:hAnsi="仿宋" w:eastAsia="仿宋" w:cs="仿宋"/>
          <w:b w:val="0"/>
          <w:bCs w:val="0"/>
          <w:kern w:val="2"/>
          <w:sz w:val="32"/>
          <w:szCs w:val="32"/>
          <w:lang w:val="en-US" w:eastAsia="zh-CN" w:bidi="ar-SA"/>
        </w:rPr>
        <w:t>举办夏邑县“2022中秋·夏邑名优特产品直播节活动，以“聚力消费帮扶、助推乡村振兴”为</w:t>
      </w:r>
      <w:bookmarkStart w:id="0" w:name="_GoBack"/>
      <w:bookmarkEnd w:id="0"/>
      <w:r>
        <w:rPr>
          <w:rFonts w:hint="eastAsia" w:ascii="仿宋" w:hAnsi="仿宋" w:eastAsia="仿宋" w:cs="仿宋"/>
          <w:b w:val="0"/>
          <w:bCs w:val="0"/>
          <w:kern w:val="2"/>
          <w:sz w:val="32"/>
          <w:szCs w:val="32"/>
          <w:lang w:val="en-US" w:eastAsia="zh-CN" w:bidi="ar-SA"/>
        </w:rPr>
        <w:t>主题，通过网络达人直播带货，“线上+线下”全渠道相结合的方式，销售优质夏邑名优特产品。</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sz w:val="32"/>
          <w:szCs w:val="32"/>
          <w:lang w:val="en-US" w:eastAsia="zh-CN"/>
        </w:rPr>
        <w:t>完成对夏邑县白菜生产情况进行调研，重点调研了先峰种植专业合作社的白菜种植和生产情况，并联系对接先峰种植专业合作社加入产品溯源系统。</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4.完成对夏邑县红薯生产情况进行调研，重点调研了王海涛种植家庭农场的红薯种植和生产情况和黄桃罐头生产加工情况，并联系对接王海涛种植家庭农场加入产品溯源系统。</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（二）</w:t>
      </w:r>
      <w:r>
        <w:rPr>
          <w:rFonts w:hint="eastAsia" w:ascii="Times New Roman" w:hAnsi="Times New Roman" w:eastAsia="仿宋_GB2312"/>
          <w:b/>
          <w:bCs/>
          <w:sz w:val="32"/>
          <w:szCs w:val="32"/>
          <w:lang w:val="en-US" w:eastAsia="zh-CN"/>
        </w:rPr>
        <w:t>二标段：</w:t>
      </w:r>
      <w:r>
        <w:rPr>
          <w:rFonts w:ascii="Times New Roman" w:hAnsi="Times New Roman" w:eastAsia="仿宋_GB2312"/>
          <w:b/>
          <w:bCs/>
          <w:sz w:val="32"/>
          <w:szCs w:val="32"/>
        </w:rPr>
        <w:t>夏邑众合物流有限公司</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夏邑众合物流有限公司二标段合同金额449.8万元，主要负责县、乡、村三级电子商务物流体系建设。</w:t>
      </w:r>
    </w:p>
    <w:p>
      <w:pPr>
        <w:rPr>
          <w:rFonts w:ascii="Times New Roman" w:hAnsi="Times New Roman" w:eastAsia="仿宋_GB2312"/>
          <w:sz w:val="32"/>
          <w:szCs w:val="32"/>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w:t>
      </w:r>
      <w:r>
        <w:rPr>
          <w:rFonts w:ascii="Times New Roman" w:hAnsi="Times New Roman" w:eastAsia="仿宋_GB2312"/>
          <w:sz w:val="32"/>
          <w:szCs w:val="32"/>
        </w:rPr>
        <w:t>财政资金</w:t>
      </w:r>
      <w:r>
        <w:rPr>
          <w:rFonts w:hint="eastAsia" w:ascii="Times New Roman" w:hAnsi="Times New Roman" w:eastAsia="仿宋_GB2312"/>
          <w:sz w:val="32"/>
          <w:szCs w:val="32"/>
          <w:lang w:val="en-US" w:eastAsia="zh-CN"/>
        </w:rPr>
        <w:t>1968100</w:t>
      </w:r>
      <w:r>
        <w:rPr>
          <w:rFonts w:ascii="Times New Roman" w:hAnsi="Times New Roman" w:eastAsia="仿宋_GB2312"/>
          <w:sz w:val="32"/>
          <w:szCs w:val="32"/>
        </w:rPr>
        <w:t>元</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具体完成情况如下：</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b w:val="0"/>
          <w:bCs w:val="0"/>
          <w:sz w:val="32"/>
          <w:szCs w:val="32"/>
          <w:lang w:eastAsia="zh-CN"/>
        </w:rPr>
      </w:pPr>
      <w:r>
        <w:rPr>
          <w:rFonts w:hint="eastAsia" w:ascii="Times New Roman" w:hAnsi="Times New Roman" w:eastAsia="仿宋_GB2312"/>
          <w:b w:val="0"/>
          <w:bCs w:val="0"/>
          <w:sz w:val="32"/>
          <w:szCs w:val="32"/>
          <w:lang w:val="en-US" w:eastAsia="zh-CN"/>
        </w:rPr>
        <w:t>1.完成</w:t>
      </w:r>
      <w:r>
        <w:rPr>
          <w:rFonts w:hint="eastAsia" w:ascii="Times New Roman" w:hAnsi="Times New Roman" w:eastAsia="仿宋_GB2312"/>
          <w:b w:val="0"/>
          <w:bCs w:val="0"/>
          <w:sz w:val="32"/>
          <w:szCs w:val="32"/>
          <w:lang w:eastAsia="zh-CN"/>
        </w:rPr>
        <w:t>24套GPS行车记录仪采购并安装</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b w:val="0"/>
          <w:bCs w:val="0"/>
          <w:sz w:val="32"/>
          <w:szCs w:val="32"/>
          <w:lang w:val="en-US" w:eastAsia="zh-CN"/>
        </w:rPr>
        <w:t>2.</w:t>
      </w:r>
      <w:r>
        <w:rPr>
          <w:rFonts w:hint="eastAsia" w:ascii="Times New Roman" w:hAnsi="Times New Roman" w:eastAsia="仿宋_GB2312"/>
          <w:b w:val="0"/>
          <w:bCs w:val="0"/>
          <w:sz w:val="32"/>
          <w:szCs w:val="32"/>
          <w:lang w:eastAsia="zh-CN"/>
        </w:rPr>
        <w:t>采购20套物流配送车锂电池</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（三）</w:t>
      </w:r>
      <w:r>
        <w:rPr>
          <w:rFonts w:hint="eastAsia" w:ascii="Times New Roman" w:hAnsi="Times New Roman" w:eastAsia="仿宋_GB2312"/>
          <w:b/>
          <w:bCs/>
          <w:sz w:val="32"/>
          <w:szCs w:val="32"/>
          <w:lang w:val="en-US" w:eastAsia="zh-CN"/>
        </w:rPr>
        <w:t>三标段：北京视创动力</w:t>
      </w:r>
      <w:r>
        <w:rPr>
          <w:rFonts w:ascii="Times New Roman" w:hAnsi="Times New Roman" w:eastAsia="仿宋_GB2312"/>
          <w:b/>
          <w:bCs/>
          <w:sz w:val="32"/>
          <w:szCs w:val="32"/>
        </w:rPr>
        <w:t>科技有限公司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北京视创动力</w:t>
      </w:r>
      <w:r>
        <w:rPr>
          <w:rFonts w:ascii="Times New Roman" w:hAnsi="Times New Roman" w:eastAsia="仿宋_GB2312"/>
          <w:sz w:val="32"/>
          <w:szCs w:val="32"/>
        </w:rPr>
        <w:t>科技有限公司三标段</w:t>
      </w:r>
      <w:r>
        <w:rPr>
          <w:rFonts w:hint="eastAsia" w:ascii="Times New Roman" w:hAnsi="Times New Roman" w:eastAsia="仿宋_GB2312"/>
          <w:sz w:val="32"/>
          <w:szCs w:val="32"/>
          <w:lang w:val="en-US" w:eastAsia="zh-CN"/>
        </w:rPr>
        <w:t>合同金额299.5万</w:t>
      </w:r>
      <w:r>
        <w:rPr>
          <w:rFonts w:ascii="Times New Roman" w:hAnsi="Times New Roman" w:eastAsia="仿宋_GB2312"/>
          <w:sz w:val="32"/>
          <w:szCs w:val="32"/>
        </w:rPr>
        <w:t>元，主要负责</w:t>
      </w:r>
      <w:r>
        <w:rPr>
          <w:rFonts w:hint="eastAsia" w:ascii="Times New Roman" w:hAnsi="Times New Roman" w:eastAsia="仿宋_GB2312"/>
          <w:sz w:val="32"/>
          <w:szCs w:val="32"/>
          <w:lang w:val="en-US" w:eastAsia="zh-CN"/>
        </w:rPr>
        <w:t>工业品下乡。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b w:val="0"/>
          <w:bCs w:val="0"/>
          <w:sz w:val="32"/>
          <w:szCs w:val="32"/>
          <w:lang w:eastAsia="zh-CN"/>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w:t>
      </w:r>
      <w:r>
        <w:rPr>
          <w:rFonts w:ascii="Times New Roman" w:hAnsi="Times New Roman" w:eastAsia="仿宋_GB2312"/>
          <w:sz w:val="32"/>
          <w:szCs w:val="32"/>
        </w:rPr>
        <w:t>财政资金</w:t>
      </w:r>
      <w:r>
        <w:rPr>
          <w:rFonts w:hint="eastAsia" w:ascii="仿宋" w:hAnsi="仿宋" w:eastAsia="仿宋" w:cs="仿宋"/>
          <w:color w:val="000000"/>
          <w:kern w:val="0"/>
          <w:sz w:val="30"/>
          <w:szCs w:val="30"/>
          <w:lang w:val="en-US" w:eastAsia="zh-CN"/>
        </w:rPr>
        <w:t>1545120.5</w:t>
      </w:r>
      <w:r>
        <w:rPr>
          <w:rFonts w:ascii="Times New Roman" w:hAnsi="Times New Roman" w:eastAsia="仿宋_GB2312"/>
          <w:sz w:val="32"/>
          <w:szCs w:val="32"/>
        </w:rPr>
        <w:t>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企业已入场作业</w:t>
      </w:r>
      <w:r>
        <w:rPr>
          <w:rFonts w:ascii="Times New Roman" w:hAnsi="Times New Roman" w:eastAsia="仿宋_GB2312"/>
          <w:sz w:val="32"/>
          <w:szCs w:val="32"/>
        </w:rPr>
        <w:t>。</w:t>
      </w:r>
      <w:r>
        <w:rPr>
          <w:rFonts w:hint="eastAsia" w:ascii="Times New Roman" w:hAnsi="Times New Roman" w:eastAsia="仿宋_GB2312"/>
          <w:b w:val="0"/>
          <w:bCs w:val="0"/>
          <w:sz w:val="32"/>
          <w:szCs w:val="32"/>
          <w:lang w:eastAsia="zh-CN"/>
        </w:rPr>
        <w:t>具体完成情况如下：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1.完成仓库制度牌5套,共20块的采购与安装</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2.对7辆车完成相应项目标示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3.10套货架采购与安装</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4.灭火器11套的采购与安装</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5.8个活动条幅的采购与1个条幅的安装</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（四）四标段</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lang w:val="en-US" w:eastAsia="zh-CN"/>
        </w:rPr>
        <w:t>郑州华鲲职业技能培训学校</w:t>
      </w:r>
      <w:r>
        <w:rPr>
          <w:rFonts w:ascii="Times New Roman" w:hAnsi="Times New Roman" w:eastAsia="仿宋_GB2312"/>
          <w:b/>
          <w:bCs/>
          <w:sz w:val="32"/>
          <w:szCs w:val="32"/>
        </w:rPr>
        <w:t>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郑州华鲲职业技能培训学校</w:t>
      </w:r>
      <w:r>
        <w:rPr>
          <w:rFonts w:ascii="Times New Roman" w:hAnsi="Times New Roman" w:eastAsia="仿宋_GB2312"/>
          <w:sz w:val="32"/>
          <w:szCs w:val="32"/>
        </w:rPr>
        <w:t>有限公司四标段</w:t>
      </w:r>
      <w:r>
        <w:rPr>
          <w:rFonts w:hint="eastAsia" w:ascii="Times New Roman" w:hAnsi="Times New Roman" w:eastAsia="仿宋_GB2312"/>
          <w:sz w:val="32"/>
          <w:szCs w:val="32"/>
          <w:lang w:val="en-US" w:eastAsia="zh-CN"/>
        </w:rPr>
        <w:t>合同金额</w:t>
      </w:r>
      <w:r>
        <w:rPr>
          <w:rFonts w:hint="eastAsia" w:ascii="Times New Roman" w:hAnsi="Times New Roman" w:eastAsia="仿宋_GB2312"/>
          <w:sz w:val="32"/>
          <w:szCs w:val="32"/>
        </w:rPr>
        <w:t>2,970,000</w:t>
      </w:r>
      <w:r>
        <w:rPr>
          <w:rFonts w:ascii="Times New Roman" w:hAnsi="Times New Roman" w:eastAsia="仿宋_GB2312"/>
          <w:sz w:val="32"/>
          <w:szCs w:val="32"/>
        </w:rPr>
        <w:t>元，主要负责农村电子商务培训体系建设</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b w:val="0"/>
          <w:bCs w:val="0"/>
          <w:sz w:val="32"/>
          <w:szCs w:val="32"/>
          <w:lang w:eastAsia="zh-CN"/>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w:t>
      </w:r>
      <w:r>
        <w:rPr>
          <w:rFonts w:ascii="Times New Roman" w:hAnsi="Times New Roman" w:eastAsia="仿宋_GB2312"/>
          <w:sz w:val="32"/>
          <w:szCs w:val="32"/>
        </w:rPr>
        <w:t>财政资金</w:t>
      </w:r>
      <w:r>
        <w:rPr>
          <w:rFonts w:hint="eastAsia" w:ascii="Times New Roman" w:hAnsi="Times New Roman" w:eastAsia="仿宋_GB2312"/>
          <w:sz w:val="32"/>
          <w:szCs w:val="32"/>
          <w:lang w:val="en-US" w:eastAsia="zh-CN"/>
        </w:rPr>
        <w:t>891000</w:t>
      </w:r>
      <w:r>
        <w:rPr>
          <w:rFonts w:ascii="Times New Roman" w:hAnsi="Times New Roman" w:eastAsia="仿宋_GB2312"/>
          <w:sz w:val="32"/>
          <w:szCs w:val="32"/>
        </w:rPr>
        <w:t>元，</w:t>
      </w:r>
      <w:r>
        <w:rPr>
          <w:rFonts w:hint="eastAsia" w:ascii="Times New Roman" w:hAnsi="Times New Roman" w:eastAsia="仿宋_GB2312"/>
          <w:b w:val="0"/>
          <w:bCs w:val="0"/>
          <w:sz w:val="32"/>
          <w:szCs w:val="32"/>
          <w:lang w:eastAsia="zh-CN"/>
        </w:rPr>
        <w:t>具体完成情况如下：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b w:val="0"/>
          <w:bCs w:val="0"/>
          <w:sz w:val="32"/>
          <w:szCs w:val="32"/>
          <w:lang w:eastAsia="zh-CN"/>
        </w:rPr>
        <w:t>本月无进度</w:t>
      </w:r>
    </w:p>
    <w:p>
      <w:pPr>
        <w:pStyle w:val="2"/>
        <w:rPr>
          <w:rFonts w:hint="eastAsia" w:ascii="仿宋_GB2312" w:hAnsi="仿宋_GB2312" w:eastAsia="仿宋_GB2312" w:cs="仿宋_GB2312"/>
          <w:sz w:val="32"/>
          <w:szCs w:val="32"/>
          <w:lang w:val="en-US" w:eastAsia="zh-CN"/>
        </w:rPr>
      </w:pPr>
    </w:p>
    <w:p>
      <w:pPr>
        <w:jc w:val="right"/>
      </w:pPr>
      <w:r>
        <w:rPr>
          <w:rFonts w:hint="eastAsia" w:ascii="仿宋_GB2312" w:hAnsi="仿宋_GB2312" w:eastAsia="仿宋_GB2312" w:cs="仿宋_GB2312"/>
          <w:b w:val="0"/>
          <w:bCs w:val="0"/>
          <w:sz w:val="32"/>
          <w:szCs w:val="32"/>
          <w:lang w:val="en-US" w:eastAsia="zh-CN"/>
        </w:rPr>
        <w:t>2022年10月14日</w:t>
      </w:r>
    </w:p>
    <w:p>
      <w:pPr>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夏邑县电子商务中心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MGIwYzZlMzQ3ODA5ODZmMTJkY2FhZjExNDIyOWIifQ=="/>
  </w:docVars>
  <w:rsids>
    <w:rsidRoot w:val="66B831D8"/>
    <w:rsid w:val="2CE602F3"/>
    <w:rsid w:val="2F3216C8"/>
    <w:rsid w:val="3D58438F"/>
    <w:rsid w:val="660A2ED8"/>
    <w:rsid w:val="66B831D8"/>
    <w:rsid w:val="6E6A3D7F"/>
    <w:rsid w:val="70BA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7"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0"/>
    <w:pPr>
      <w:keepNext/>
      <w:keepLines/>
      <w:adjustRightInd w:val="0"/>
      <w:snapToGrid w:val="0"/>
      <w:spacing w:beforeLines="50" w:afterLines="50" w:line="360" w:lineRule="auto"/>
      <w:jc w:val="center"/>
      <w:outlineLvl w:val="1"/>
    </w:pPr>
    <w:rPr>
      <w:rFonts w:ascii="宋体" w:hAnsi="宋体"/>
      <w:b/>
      <w:bCs/>
      <w:kern w:val="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正文文本 21"/>
    <w:basedOn w:val="1"/>
    <w:qFormat/>
    <w:uiPriority w:val="1624"/>
    <w:rPr>
      <w:rFonts w:ascii="Times New Roman" w:hAnsi="Times New Roman"/>
      <w:kern w:val="1"/>
      <w:sz w:val="28"/>
    </w:rPr>
  </w:style>
  <w:style w:type="paragraph" w:styleId="6">
    <w:name w:val="Body Text Indent"/>
    <w:basedOn w:val="1"/>
    <w:next w:val="7"/>
    <w:qFormat/>
    <w:uiPriority w:val="6"/>
    <w:pPr>
      <w:widowControl/>
      <w:spacing w:before="100" w:beforeAutospacing="1" w:after="100" w:afterAutospacing="1"/>
      <w:jc w:val="left"/>
    </w:pPr>
    <w:rPr>
      <w:rFonts w:ascii="宋体" w:hAnsi="宋体" w:cs="宋体"/>
      <w:sz w:val="24"/>
    </w:rPr>
  </w:style>
  <w:style w:type="paragraph" w:styleId="7">
    <w:name w:val="envelope return"/>
    <w:basedOn w:val="1"/>
    <w:qFormat/>
    <w:uiPriority w:val="7"/>
    <w:rPr>
      <w:rFonts w:ascii="Arial" w:hAnsi="Arial" w:cs="Arial"/>
      <w:kern w:val="1"/>
    </w:rPr>
  </w:style>
  <w:style w:type="paragraph" w:styleId="8">
    <w:name w:val="Body Text First Indent"/>
    <w:basedOn w:val="4"/>
    <w:next w:val="9"/>
    <w:qFormat/>
    <w:uiPriority w:val="0"/>
    <w:pPr>
      <w:ind w:firstLine="420" w:firstLineChars="100"/>
    </w:pPr>
  </w:style>
  <w:style w:type="paragraph" w:styleId="9">
    <w:name w:val="Body Text First Indent 2"/>
    <w:basedOn w:val="6"/>
    <w:qFormat/>
    <w:uiPriority w:val="6"/>
    <w:pPr>
      <w:spacing w:after="120"/>
      <w:ind w:left="420" w:firstLine="420"/>
    </w:pPr>
    <w:rPr>
      <w:rFonts w:ascii="Times New Roman" w:hAnsi="Times New Roman" w:cs="Times New Roman"/>
      <w:kern w:val="1"/>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675</Words>
  <Characters>769</Characters>
  <Lines>0</Lines>
  <Paragraphs>0</Paragraphs>
  <TotalTime>2</TotalTime>
  <ScaleCrop>false</ScaleCrop>
  <LinksUpToDate>false</LinksUpToDate>
  <CharactersWithSpaces>769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2022-09-15T08:29:00Z</dcterms:created>
  <dc:creator>Administrator</dc:creator>
  <cp:lastModifiedBy>Administrator</cp:lastModifiedBy>
  <dcterms:modified xsi:type="dcterms:W3CDTF">2022-10-10T07:58:03Z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B8A3519A2B6A48BFA5437D9A1A9F89FC</vt:lpwstr>
  </property>
</Properties>
</file>