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w:t>
      </w:r>
      <w:r>
        <w:rPr>
          <w:rFonts w:hint="eastAsia"/>
          <w:shd w:val="clear" w:color="auto" w:fill="FFFFFF"/>
          <w:lang w:val="en-US" w:eastAsia="zh-CN"/>
        </w:rPr>
        <w:t>1</w:t>
      </w:r>
      <w:r>
        <w:rPr>
          <w:shd w:val="clear" w:color="auto" w:fill="FFFFFF"/>
        </w:rPr>
        <w:t>年</w:t>
      </w:r>
      <w:r>
        <w:rPr>
          <w:rFonts w:hint="eastAsia"/>
          <w:shd w:val="clear" w:color="auto" w:fill="FFFFFF"/>
          <w:lang w:val="en-US" w:eastAsia="zh-CN"/>
        </w:rPr>
        <w:t>2</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164.72</w:t>
            </w: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帮助夏邑县农副产品销售，巩固脱贫攻坚成果，帮助贫困群众增收致富。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eastAsia="宋体" w:cs="宋体"/>
                <w:sz w:val="18"/>
                <w:szCs w:val="18"/>
                <w:lang w:val="en-US"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179.664</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21</w:t>
            </w:r>
            <w:r>
              <w:rPr>
                <w:rFonts w:hint="eastAsia" w:ascii="宋体" w:hAnsi="宋体" w:eastAsia="宋体" w:cs="宋体"/>
                <w:color w:val="000000"/>
                <w:sz w:val="18"/>
                <w:szCs w:val="18"/>
              </w:rPr>
              <w:t>年底完成</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580</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556</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89.1</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年底完成培训10000人次以上</w:t>
            </w:r>
          </w:p>
        </w:tc>
        <w:tc>
          <w:tcPr>
            <w:tcW w:w="4070"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本月累计培训外出务工返乡人员326人次</w:t>
            </w: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sz w:val="18"/>
                <w:szCs w:val="18"/>
              </w:rPr>
              <w:t>236.82</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ascii="宋体" w:hAnsi="宋体" w:eastAsia="宋体" w:cs="宋体"/>
                <w:color w:val="000000"/>
                <w:sz w:val="18"/>
                <w:szCs w:val="18"/>
              </w:rPr>
            </w:pPr>
            <w:r>
              <w:rPr>
                <w:rFonts w:hint="eastAsia" w:ascii="宋体" w:hAnsi="宋体" w:eastAsia="宋体" w:cs="宋体"/>
                <w:color w:val="000000"/>
                <w:spacing w:val="0"/>
                <w:position w:val="0"/>
                <w:sz w:val="18"/>
                <w:shd w:val="clear" w:fill="auto"/>
              </w:rPr>
              <w:t>村点制度牌624套已经全部制作完成，电动厢式货车已经陆续发放到乡镇，共计发放1</w:t>
            </w:r>
            <w:r>
              <w:rPr>
                <w:rFonts w:hint="eastAsia" w:ascii="宋体" w:hAnsi="宋体" w:eastAsia="宋体" w:cs="宋体"/>
                <w:color w:val="000000"/>
                <w:spacing w:val="0"/>
                <w:position w:val="0"/>
                <w:sz w:val="18"/>
                <w:shd w:val="clear" w:fill="auto"/>
                <w:lang w:val="en-US" w:eastAsia="zh-CN"/>
              </w:rPr>
              <w:t>8</w:t>
            </w:r>
            <w:r>
              <w:rPr>
                <w:rFonts w:hint="eastAsia" w:ascii="宋体" w:hAnsi="宋体" w:eastAsia="宋体" w:cs="宋体"/>
                <w:color w:val="000000"/>
                <w:spacing w:val="0"/>
                <w:position w:val="0"/>
                <w:sz w:val="18"/>
                <w:shd w:val="clear" w:fill="auto"/>
              </w:rPr>
              <w:t>辆，其余乡镇正在考核发放中，购进4.2米厢式货车3辆并已经投入使用</w:t>
            </w:r>
            <w:bookmarkStart w:id="0" w:name="_GoBack"/>
            <w:bookmarkEnd w:id="0"/>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5A2CB7"/>
    <w:rsid w:val="00632868"/>
    <w:rsid w:val="006F7510"/>
    <w:rsid w:val="00730672"/>
    <w:rsid w:val="00994DD4"/>
    <w:rsid w:val="00AE4226"/>
    <w:rsid w:val="00C85889"/>
    <w:rsid w:val="00D049BE"/>
    <w:rsid w:val="00D3077F"/>
    <w:rsid w:val="00D6226B"/>
    <w:rsid w:val="00D76452"/>
    <w:rsid w:val="00DD7112"/>
    <w:rsid w:val="00FD33AF"/>
    <w:rsid w:val="03237E40"/>
    <w:rsid w:val="077C6D45"/>
    <w:rsid w:val="09D542FB"/>
    <w:rsid w:val="0B47081C"/>
    <w:rsid w:val="0E0D7CD0"/>
    <w:rsid w:val="0E191DC5"/>
    <w:rsid w:val="0F1B20DA"/>
    <w:rsid w:val="10FA2EB5"/>
    <w:rsid w:val="13A9533B"/>
    <w:rsid w:val="160B15A6"/>
    <w:rsid w:val="16102332"/>
    <w:rsid w:val="16B13A6E"/>
    <w:rsid w:val="17781454"/>
    <w:rsid w:val="1A990348"/>
    <w:rsid w:val="231A490A"/>
    <w:rsid w:val="25470415"/>
    <w:rsid w:val="29CD6D8B"/>
    <w:rsid w:val="2AAE33BA"/>
    <w:rsid w:val="2C152628"/>
    <w:rsid w:val="2D6820D4"/>
    <w:rsid w:val="2E6E5B39"/>
    <w:rsid w:val="324574EF"/>
    <w:rsid w:val="36BA214B"/>
    <w:rsid w:val="38086DE9"/>
    <w:rsid w:val="3ACE5A33"/>
    <w:rsid w:val="409B5A62"/>
    <w:rsid w:val="44A7354B"/>
    <w:rsid w:val="44C96EBF"/>
    <w:rsid w:val="4696297E"/>
    <w:rsid w:val="4F4F478B"/>
    <w:rsid w:val="53DE0256"/>
    <w:rsid w:val="54F07E6F"/>
    <w:rsid w:val="57152E00"/>
    <w:rsid w:val="58FF45F5"/>
    <w:rsid w:val="5A117470"/>
    <w:rsid w:val="5BE9329B"/>
    <w:rsid w:val="5CE0569B"/>
    <w:rsid w:val="5E5D71FE"/>
    <w:rsid w:val="616B1BEB"/>
    <w:rsid w:val="67801E2D"/>
    <w:rsid w:val="6B2472E1"/>
    <w:rsid w:val="6BB00F76"/>
    <w:rsid w:val="6E93346A"/>
    <w:rsid w:val="71BA024A"/>
    <w:rsid w:val="761845BD"/>
    <w:rsid w:val="77835A0A"/>
    <w:rsid w:val="77F645D0"/>
    <w:rsid w:val="7AA955D1"/>
    <w:rsid w:val="7E2D4B9E"/>
    <w:rsid w:val="7F85198C"/>
    <w:rsid w:val="7F8E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286</Words>
  <Characters>1632</Characters>
  <Lines>13</Lines>
  <Paragraphs>3</Paragraphs>
  <TotalTime>27</TotalTime>
  <ScaleCrop>false</ScaleCrop>
  <LinksUpToDate>false</LinksUpToDate>
  <CharactersWithSpaces>1915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Administrator</cp:lastModifiedBy>
  <dcterms:modified xsi:type="dcterms:W3CDTF">2021-09-26T02:10:53Z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5A1041FBBDF94EC09BC2546C7F78B5ED</vt:lpwstr>
  </property>
</Properties>
</file>