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00" w:after="100"/>
        <w:jc w:val="center"/>
        <w:rPr>
          <w:rFonts w:hint="default"/>
          <w:shd w:val="clear" w:color="auto" w:fill="FFFFFF"/>
        </w:rPr>
      </w:pPr>
      <w:r>
        <w:rPr>
          <w:shd w:val="clear" w:color="auto" w:fill="FFFFFF"/>
        </w:rPr>
        <w:t>夏邑县电子商务进农村综合示范项目工作进度</w:t>
      </w:r>
    </w:p>
    <w:p>
      <w:pPr>
        <w:pStyle w:val="2"/>
        <w:spacing w:before="100" w:after="100"/>
        <w:jc w:val="center"/>
        <w:rPr>
          <w:rFonts w:hint="default"/>
          <w:shd w:val="clear" w:color="auto" w:fill="FFFFFF"/>
        </w:rPr>
      </w:pPr>
      <w:r>
        <w:rPr>
          <w:shd w:val="clear" w:color="auto" w:fill="FFFFFF"/>
        </w:rPr>
        <w:t>202</w:t>
      </w:r>
      <w:r>
        <w:rPr>
          <w:rFonts w:hint="eastAsia"/>
          <w:shd w:val="clear" w:color="auto" w:fill="FFFFFF"/>
          <w:lang w:val="en-US" w:eastAsia="zh-CN"/>
        </w:rPr>
        <w:t>1</w:t>
      </w:r>
      <w:r>
        <w:rPr>
          <w:shd w:val="clear" w:color="auto" w:fill="FFFFFF"/>
        </w:rPr>
        <w:t>年</w:t>
      </w:r>
      <w:r>
        <w:rPr>
          <w:rFonts w:hint="eastAsia"/>
          <w:shd w:val="clear" w:color="auto" w:fill="FFFFFF"/>
          <w:lang w:val="en-US" w:eastAsia="zh-CN"/>
        </w:rPr>
        <w:t>7</w:t>
      </w:r>
      <w:r>
        <w:rPr>
          <w:shd w:val="clear" w:color="auto" w:fill="FFFFFF"/>
        </w:rPr>
        <w:t>月份</w:t>
      </w:r>
    </w:p>
    <w:tbl>
      <w:tblPr>
        <w:tblStyle w:val="4"/>
        <w:tblW w:w="11675" w:type="dxa"/>
        <w:jc w:val="center"/>
        <w:tblLayout w:type="fixed"/>
        <w:tblCellMar>
          <w:top w:w="15" w:type="dxa"/>
          <w:left w:w="15" w:type="dxa"/>
          <w:bottom w:w="15" w:type="dxa"/>
          <w:right w:w="15" w:type="dxa"/>
        </w:tblCellMar>
      </w:tblPr>
      <w:tblGrid>
        <w:gridCol w:w="402"/>
        <w:gridCol w:w="952"/>
        <w:gridCol w:w="850"/>
        <w:gridCol w:w="851"/>
        <w:gridCol w:w="992"/>
        <w:gridCol w:w="1277"/>
        <w:gridCol w:w="4070"/>
        <w:gridCol w:w="2281"/>
      </w:tblGrid>
      <w:tr>
        <w:tblPrEx>
          <w:tblCellMar>
            <w:top w:w="15" w:type="dxa"/>
            <w:left w:w="15" w:type="dxa"/>
            <w:bottom w:w="15" w:type="dxa"/>
            <w:right w:w="15" w:type="dxa"/>
          </w:tblCellMar>
        </w:tblPrEx>
        <w:trPr>
          <w:jc w:val="center"/>
        </w:trPr>
        <w:tc>
          <w:tcPr>
            <w:tcW w:w="402"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p>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序号</w:t>
            </w:r>
          </w:p>
        </w:tc>
        <w:tc>
          <w:tcPr>
            <w:tcW w:w="952"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项目名称</w:t>
            </w:r>
          </w:p>
        </w:tc>
        <w:tc>
          <w:tcPr>
            <w:tcW w:w="850"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扶持资金额度(万元)</w:t>
            </w:r>
          </w:p>
        </w:tc>
        <w:tc>
          <w:tcPr>
            <w:tcW w:w="851"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财政已拨付资金(万元)</w:t>
            </w:r>
          </w:p>
        </w:tc>
        <w:tc>
          <w:tcPr>
            <w:tcW w:w="992"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中标（承办）企业</w:t>
            </w:r>
          </w:p>
        </w:tc>
        <w:tc>
          <w:tcPr>
            <w:tcW w:w="1277"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完成时限</w:t>
            </w:r>
          </w:p>
        </w:tc>
        <w:tc>
          <w:tcPr>
            <w:tcW w:w="4070"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建设内容和要求</w:t>
            </w:r>
          </w:p>
        </w:tc>
        <w:tc>
          <w:tcPr>
            <w:tcW w:w="2281"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建设项目进度</w:t>
            </w:r>
          </w:p>
        </w:tc>
      </w:tr>
      <w:tr>
        <w:tblPrEx>
          <w:tblCellMar>
            <w:top w:w="15" w:type="dxa"/>
            <w:left w:w="15" w:type="dxa"/>
            <w:bottom w:w="15" w:type="dxa"/>
            <w:right w:w="15" w:type="dxa"/>
          </w:tblCellMar>
        </w:tblPrEx>
        <w:trPr>
          <w:jc w:val="center"/>
        </w:trPr>
        <w:tc>
          <w:tcPr>
            <w:tcW w:w="402" w:type="dxa"/>
            <w:vMerge w:val="restart"/>
            <w:tcBorders>
              <w:top w:val="single" w:color="000000" w:sz="8" w:space="0"/>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952"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sz w:val="18"/>
                <w:szCs w:val="18"/>
              </w:rPr>
              <w:t>电子商务公共服务中心建设</w:t>
            </w:r>
          </w:p>
        </w:tc>
        <w:tc>
          <w:tcPr>
            <w:tcW w:w="850" w:type="dxa"/>
            <w:vMerge w:val="restart"/>
            <w:tcBorders>
              <w:top w:val="single" w:color="000000" w:sz="8" w:space="0"/>
              <w:left w:val="nil"/>
              <w:right w:val="single" w:color="000000" w:sz="8" w:space="0"/>
            </w:tcBorders>
            <w:shd w:val="clear" w:color="auto" w:fill="FFFFFF"/>
            <w:noWrap w:val="0"/>
            <w:tcMar>
              <w:top w:w="0" w:type="dxa"/>
              <w:left w:w="105" w:type="dxa"/>
              <w:bottom w:w="0" w:type="dxa"/>
              <w:right w:w="105" w:type="dxa"/>
            </w:tcMar>
            <w:vAlign w:val="center"/>
          </w:tcPr>
          <w:p>
            <w:pPr>
              <w:pStyle w:val="3"/>
              <w:jc w:val="center"/>
              <w:rPr>
                <w:rFonts w:ascii="宋体" w:hAnsi="宋体" w:eastAsia="宋体" w:cs="宋体"/>
                <w:color w:val="000000"/>
                <w:sz w:val="18"/>
                <w:szCs w:val="18"/>
              </w:rPr>
            </w:pPr>
            <w:r>
              <w:rPr>
                <w:rFonts w:hint="eastAsia" w:ascii="宋体" w:hAnsi="宋体" w:eastAsia="宋体" w:cs="宋体"/>
                <w:color w:val="000000"/>
                <w:sz w:val="18"/>
                <w:szCs w:val="18"/>
              </w:rPr>
              <w:t>450</w:t>
            </w:r>
          </w:p>
        </w:tc>
        <w:tc>
          <w:tcPr>
            <w:tcW w:w="851" w:type="dxa"/>
            <w:vMerge w:val="restart"/>
            <w:tcBorders>
              <w:top w:val="single" w:color="000000" w:sz="8" w:space="0"/>
              <w:left w:val="nil"/>
              <w:right w:val="single" w:color="000000" w:sz="8" w:space="0"/>
            </w:tcBorders>
            <w:shd w:val="clear" w:color="auto" w:fill="FFFFFF"/>
            <w:noWrap w:val="0"/>
            <w:tcMar>
              <w:top w:w="0" w:type="dxa"/>
              <w:left w:w="105" w:type="dxa"/>
              <w:bottom w:w="0" w:type="dxa"/>
              <w:right w:w="105" w:type="dxa"/>
            </w:tcMar>
            <w:vAlign w:val="center"/>
          </w:tcPr>
          <w:p>
            <w:pPr>
              <w:pStyle w:val="3"/>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289.85</w:t>
            </w:r>
          </w:p>
        </w:tc>
        <w:tc>
          <w:tcPr>
            <w:tcW w:w="992" w:type="dxa"/>
            <w:vMerge w:val="restart"/>
            <w:tcBorders>
              <w:top w:val="single" w:color="000000" w:sz="8" w:space="0"/>
              <w:left w:val="nil"/>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 xml:space="preserve">厦门导航者软件科技有限公司   </w:t>
            </w:r>
          </w:p>
          <w:p>
            <w:pPr>
              <w:pStyle w:val="3"/>
              <w:jc w:val="center"/>
              <w:rPr>
                <w:rFonts w:ascii="宋体" w:hAnsi="宋体" w:eastAsia="宋体" w:cs="宋体"/>
                <w:color w:val="000000"/>
                <w:sz w:val="18"/>
                <w:szCs w:val="18"/>
              </w:rPr>
            </w:pPr>
          </w:p>
        </w:tc>
        <w:tc>
          <w:tcPr>
            <w:tcW w:w="1277"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2020年底完善所有配置，并投入运营</w:t>
            </w:r>
          </w:p>
        </w:tc>
        <w:tc>
          <w:tcPr>
            <w:tcW w:w="4070"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rPr>
                <w:rFonts w:ascii="宋体" w:hAnsi="宋体" w:eastAsia="宋体" w:cs="宋体"/>
                <w:sz w:val="18"/>
                <w:szCs w:val="18"/>
              </w:rPr>
            </w:pPr>
            <w:r>
              <w:rPr>
                <w:rFonts w:hint="eastAsia" w:ascii="宋体" w:hAnsi="宋体" w:eastAsia="宋体" w:cs="宋体"/>
                <w:sz w:val="18"/>
                <w:szCs w:val="18"/>
              </w:rPr>
              <w:t>建设1个县域电子商务公共服务中心，设立接待中心、特色农产品展示中心、电商培训室、多媒体大会议室、电商沙龙区、农产品检测中心、大数据动态展示中心、电子商务公共服务平台，提供运营推广、数据统计、电商咨询、线上服务、电商支撑服务等系统性全面电商公共服务。</w:t>
            </w:r>
          </w:p>
        </w:tc>
        <w:tc>
          <w:tcPr>
            <w:tcW w:w="2281" w:type="dxa"/>
            <w:tcBorders>
              <w:top w:val="single" w:color="000000" w:sz="8" w:space="0"/>
              <w:left w:val="nil"/>
              <w:bottom w:val="single" w:color="auto" w:sz="4"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特色馆正常管理运营中，摄影中心完成投入并运营中</w:t>
            </w:r>
            <w:r>
              <w:rPr>
                <w:rFonts w:hint="eastAsia" w:ascii="宋体" w:hAnsi="宋体" w:eastAsia="宋体" w:cs="宋体"/>
                <w:color w:val="000000"/>
                <w:sz w:val="18"/>
                <w:szCs w:val="18"/>
                <w:lang w:eastAsia="zh-CN"/>
              </w:rPr>
              <w:t>帮助企业拍摄产品照片</w:t>
            </w:r>
            <w:r>
              <w:rPr>
                <w:rFonts w:hint="eastAsia" w:ascii="宋体" w:hAnsi="宋体" w:eastAsia="宋体" w:cs="宋体"/>
                <w:color w:val="000000"/>
                <w:sz w:val="18"/>
                <w:szCs w:val="18"/>
              </w:rPr>
              <w:t>，直播室</w:t>
            </w:r>
            <w:r>
              <w:rPr>
                <w:rFonts w:hint="eastAsia" w:ascii="宋体" w:hAnsi="宋体" w:eastAsia="宋体" w:cs="宋体"/>
                <w:color w:val="000000"/>
                <w:sz w:val="18"/>
                <w:szCs w:val="18"/>
                <w:lang w:eastAsia="zh-CN"/>
              </w:rPr>
              <w:t>正常</w:t>
            </w:r>
            <w:r>
              <w:rPr>
                <w:rFonts w:hint="eastAsia" w:ascii="宋体" w:hAnsi="宋体" w:eastAsia="宋体" w:cs="宋体"/>
                <w:color w:val="000000"/>
                <w:sz w:val="18"/>
                <w:szCs w:val="18"/>
              </w:rPr>
              <w:t>运营中，公共服务平台日常管理和运营中。</w:t>
            </w:r>
          </w:p>
        </w:tc>
      </w:tr>
      <w:tr>
        <w:tblPrEx>
          <w:tblCellMar>
            <w:top w:w="15" w:type="dxa"/>
            <w:left w:w="15" w:type="dxa"/>
            <w:bottom w:w="15" w:type="dxa"/>
            <w:right w:w="15" w:type="dxa"/>
          </w:tblCellMar>
        </w:tblPrEx>
        <w:trPr>
          <w:trHeight w:val="1194" w:hRule="atLeast"/>
          <w:jc w:val="center"/>
        </w:trPr>
        <w:tc>
          <w:tcPr>
            <w:tcW w:w="402" w:type="dxa"/>
            <w:vMerge w:val="continue"/>
            <w:tcBorders>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p>
        </w:tc>
        <w:tc>
          <w:tcPr>
            <w:tcW w:w="952" w:type="dxa"/>
            <w:tcBorders>
              <w:top w:val="single" w:color="000000" w:sz="8" w:space="0"/>
              <w:left w:val="nil"/>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sz w:val="18"/>
                <w:szCs w:val="18"/>
              </w:rPr>
              <w:t>农村产品电子商务供应链和营销体系建设</w:t>
            </w:r>
          </w:p>
        </w:tc>
        <w:tc>
          <w:tcPr>
            <w:tcW w:w="850" w:type="dxa"/>
            <w:vMerge w:val="continue"/>
            <w:tcBorders>
              <w:left w:val="nil"/>
              <w:right w:val="single" w:color="000000" w:sz="8" w:space="0"/>
            </w:tcBorders>
            <w:shd w:val="clear" w:color="auto" w:fill="FFFFFF"/>
            <w:noWrap w:val="0"/>
            <w:tcMar>
              <w:top w:w="0" w:type="dxa"/>
              <w:left w:w="105" w:type="dxa"/>
              <w:bottom w:w="0" w:type="dxa"/>
              <w:right w:w="105" w:type="dxa"/>
            </w:tcMar>
            <w:vAlign w:val="center"/>
          </w:tcPr>
          <w:p>
            <w:pPr>
              <w:pStyle w:val="3"/>
              <w:jc w:val="center"/>
              <w:rPr>
                <w:rFonts w:ascii="宋体" w:hAnsi="宋体" w:eastAsia="宋体" w:cs="宋体"/>
                <w:color w:val="000000"/>
                <w:sz w:val="18"/>
                <w:szCs w:val="18"/>
              </w:rPr>
            </w:pPr>
          </w:p>
        </w:tc>
        <w:tc>
          <w:tcPr>
            <w:tcW w:w="851" w:type="dxa"/>
            <w:vMerge w:val="continue"/>
            <w:tcBorders>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p>
        </w:tc>
        <w:tc>
          <w:tcPr>
            <w:tcW w:w="992" w:type="dxa"/>
            <w:vMerge w:val="continue"/>
            <w:tcBorders>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jc w:val="center"/>
              <w:rPr>
                <w:rFonts w:ascii="宋体" w:hAnsi="宋体" w:eastAsia="宋体" w:cs="宋体"/>
                <w:color w:val="000000"/>
                <w:sz w:val="18"/>
                <w:szCs w:val="18"/>
              </w:rPr>
            </w:pPr>
          </w:p>
        </w:tc>
        <w:tc>
          <w:tcPr>
            <w:tcW w:w="1277"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jc w:val="center"/>
              <w:rPr>
                <w:rFonts w:ascii="宋体" w:hAnsi="宋体" w:eastAsia="宋体" w:cs="宋体"/>
                <w:color w:val="000000"/>
                <w:sz w:val="18"/>
                <w:szCs w:val="18"/>
              </w:rPr>
            </w:pPr>
            <w:r>
              <w:rPr>
                <w:rFonts w:hint="eastAsia" w:ascii="宋体" w:hAnsi="宋体" w:eastAsia="宋体" w:cs="宋体"/>
                <w:color w:val="000000"/>
                <w:sz w:val="18"/>
                <w:szCs w:val="18"/>
              </w:rPr>
              <w:t>2020底完成区域品牌注册，并持续推进</w:t>
            </w:r>
          </w:p>
        </w:tc>
        <w:tc>
          <w:tcPr>
            <w:tcW w:w="4070" w:type="dxa"/>
            <w:tcBorders>
              <w:top w:val="single" w:color="000000" w:sz="8" w:space="0"/>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rPr>
                <w:rFonts w:ascii="宋体" w:hAnsi="宋体" w:eastAsia="宋体" w:cs="宋体"/>
                <w:sz w:val="18"/>
                <w:szCs w:val="18"/>
              </w:rPr>
            </w:pPr>
            <w:r>
              <w:rPr>
                <w:rFonts w:hint="eastAsia" w:ascii="宋体" w:hAnsi="宋体" w:eastAsia="宋体" w:cs="宋体"/>
                <w:color w:val="000000"/>
                <w:kern w:val="0"/>
                <w:sz w:val="18"/>
                <w:szCs w:val="18"/>
              </w:rPr>
              <w:t>围绕“农产品上行”为核心，打造夏邑县农产品区域公用品牌，重点扶持5 家以上示范标杆企业，建立夏邑县农特产品标准化数据库，对特色产品进行分级、开发、优化，将农产品转化为农产商品，建设形成夏邑县特色产品资源库。配置对应的可视化设备、网络传输、溯源等设施设备，建立夏邑县农产品质量保障与追溯平台，进一步提升夏邑县农产品的商品化、标准化、品牌化。建设线上线下特色产品展示馆。为夏邑县农产品提供第三方检测服务和第三方认证服务；建立夏邑县农产品质量追溯系统。</w:t>
            </w:r>
          </w:p>
        </w:tc>
        <w:tc>
          <w:tcPr>
            <w:tcW w:w="2281" w:type="dxa"/>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rPr>
                <w:rFonts w:hint="eastAsia" w:ascii="宋体" w:hAnsi="宋体" w:eastAsia="宋体" w:cs="宋体"/>
                <w:sz w:val="18"/>
                <w:szCs w:val="18"/>
                <w:lang w:eastAsia="zh-CN"/>
              </w:rPr>
            </w:pPr>
            <w:r>
              <w:rPr>
                <w:rFonts w:hint="eastAsia" w:ascii="宋体" w:hAnsi="宋体" w:eastAsia="宋体" w:cs="宋体"/>
                <w:sz w:val="18"/>
                <w:szCs w:val="18"/>
              </w:rPr>
              <w:t>通过传统媒体和线下电商展会、线上网络媒体多种方式宣传了夏邑公共品牌，</w:t>
            </w:r>
            <w:r>
              <w:rPr>
                <w:rFonts w:hint="eastAsia" w:ascii="宋体" w:hAnsi="宋体" w:eastAsia="宋体" w:cs="宋体"/>
                <w:sz w:val="18"/>
                <w:szCs w:val="18"/>
                <w:lang w:eastAsia="zh-CN"/>
              </w:rPr>
              <w:t>溯源系统运行管理中</w:t>
            </w:r>
            <w:r>
              <w:rPr>
                <w:rFonts w:hint="eastAsia" w:ascii="宋体" w:hAnsi="宋体" w:cs="宋体"/>
                <w:sz w:val="18"/>
                <w:szCs w:val="18"/>
                <w:lang w:eastAsia="zh-CN"/>
              </w:rPr>
              <w:t>。</w:t>
            </w:r>
          </w:p>
          <w:p>
            <w:pPr>
              <w:rPr>
                <w:rFonts w:ascii="宋体" w:hAnsi="宋体" w:eastAsia="宋体" w:cs="宋体"/>
                <w:color w:val="000000"/>
                <w:kern w:val="0"/>
                <w:sz w:val="18"/>
                <w:szCs w:val="18"/>
              </w:rPr>
            </w:pPr>
          </w:p>
        </w:tc>
      </w:tr>
      <w:tr>
        <w:tblPrEx>
          <w:tblCellMar>
            <w:top w:w="15" w:type="dxa"/>
            <w:left w:w="15" w:type="dxa"/>
            <w:bottom w:w="15" w:type="dxa"/>
            <w:right w:w="15" w:type="dxa"/>
          </w:tblCellMar>
        </w:tblPrEx>
        <w:trPr>
          <w:trHeight w:val="1194" w:hRule="atLeast"/>
          <w:jc w:val="center"/>
        </w:trPr>
        <w:tc>
          <w:tcPr>
            <w:tcW w:w="402" w:type="dxa"/>
            <w:vMerge w:val="continue"/>
            <w:tcBorders>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p>
        </w:tc>
        <w:tc>
          <w:tcPr>
            <w:tcW w:w="952" w:type="dxa"/>
            <w:tcBorders>
              <w:top w:val="single" w:color="000000" w:sz="8" w:space="0"/>
              <w:left w:val="nil"/>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sz w:val="18"/>
                <w:szCs w:val="18"/>
              </w:rPr>
              <w:t>电子商务进农村宣传与应用推广</w:t>
            </w:r>
          </w:p>
        </w:tc>
        <w:tc>
          <w:tcPr>
            <w:tcW w:w="850" w:type="dxa"/>
            <w:vMerge w:val="continue"/>
            <w:tcBorders>
              <w:left w:val="nil"/>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p>
        </w:tc>
        <w:tc>
          <w:tcPr>
            <w:tcW w:w="851" w:type="dxa"/>
            <w:vMerge w:val="continue"/>
            <w:tcBorders>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p>
        </w:tc>
        <w:tc>
          <w:tcPr>
            <w:tcW w:w="992" w:type="dxa"/>
            <w:vMerge w:val="continue"/>
            <w:tcBorders>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p>
        </w:tc>
        <w:tc>
          <w:tcPr>
            <w:tcW w:w="1277"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配合工作推进情况开展</w:t>
            </w:r>
          </w:p>
        </w:tc>
        <w:tc>
          <w:tcPr>
            <w:tcW w:w="4070" w:type="dxa"/>
            <w:tcBorders>
              <w:top w:val="single" w:color="000000" w:sz="8" w:space="0"/>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定期组织企业沙龙交流活动，通过多种方式宣传农村电商，营造发展农村电商的浓厚氛围，加快农民触网、入网步伐；充分利用传统媒体传播，线下电商展会传播与线上网络媒体广泛宣传电子商务进农村政策，做好线上品牌主题策划、媒体报道、品牌塑造、形象打造；挖掘优秀本土网商成功亮点案例，区域公共品牌对外宣传；年度优秀网商企业、优秀个人、先进企业单位活动策划评选。</w:t>
            </w:r>
          </w:p>
        </w:tc>
        <w:tc>
          <w:tcPr>
            <w:tcW w:w="2281" w:type="dxa"/>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bidi w:val="0"/>
              <w:rPr>
                <w:rFonts w:hint="eastAsia" w:ascii="宋体" w:hAnsi="宋体" w:eastAsia="宋体" w:cs="宋体"/>
                <w:color w:val="000000"/>
                <w:szCs w:val="18"/>
                <w:lang w:val="en-US" w:eastAsia="zh-CN"/>
              </w:rPr>
            </w:pPr>
            <w:r>
              <w:rPr>
                <w:rFonts w:hint="eastAsia" w:ascii="宋体" w:hAnsi="宋体" w:eastAsia="宋体" w:cs="宋体"/>
                <w:sz w:val="18"/>
                <w:szCs w:val="18"/>
                <w:lang w:eastAsia="zh-CN"/>
              </w:rPr>
              <w:t>帮助夏邑县农副产品销售，巩固脱贫攻坚成果，帮助贫困群众增收致富。</w:t>
            </w:r>
            <w:r>
              <w:rPr>
                <w:rFonts w:hint="eastAsia" w:ascii="宋体" w:hAnsi="宋体" w:eastAsia="宋体" w:cs="宋体"/>
                <w:sz w:val="18"/>
                <w:szCs w:val="18"/>
              </w:rPr>
              <w:t>整合了夏邑县域媒体、传统媒体以及网络媒体，并对公共品牌、夏邑商城和创业优秀案例进行宣传和推广</w:t>
            </w:r>
            <w:r>
              <w:rPr>
                <w:rFonts w:hint="eastAsia" w:ascii="宋体" w:hAnsi="宋体" w:cs="宋体"/>
                <w:sz w:val="18"/>
                <w:szCs w:val="18"/>
                <w:lang w:eastAsia="zh-CN"/>
              </w:rPr>
              <w:t>。</w:t>
            </w:r>
          </w:p>
        </w:tc>
      </w:tr>
      <w:tr>
        <w:tblPrEx>
          <w:tblCellMar>
            <w:top w:w="15" w:type="dxa"/>
            <w:left w:w="15" w:type="dxa"/>
            <w:bottom w:w="15" w:type="dxa"/>
            <w:right w:w="15" w:type="dxa"/>
          </w:tblCellMar>
        </w:tblPrEx>
        <w:trPr>
          <w:trHeight w:val="90" w:hRule="atLeast"/>
          <w:jc w:val="center"/>
        </w:trPr>
        <w:tc>
          <w:tcPr>
            <w:tcW w:w="402" w:type="dxa"/>
            <w:tcBorders>
              <w:top w:val="single" w:color="000000" w:sz="8" w:space="0"/>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952" w:type="dxa"/>
            <w:tcBorders>
              <w:top w:val="single" w:color="000000" w:sz="8" w:space="0"/>
              <w:left w:val="nil"/>
              <w:right w:val="single" w:color="000000" w:sz="8" w:space="0"/>
            </w:tcBorders>
            <w:shd w:val="clear" w:color="auto" w:fill="FFFFFF"/>
            <w:noWrap w:val="0"/>
            <w:tcMar>
              <w:top w:w="0" w:type="dxa"/>
              <w:left w:w="105" w:type="dxa"/>
              <w:bottom w:w="0" w:type="dxa"/>
              <w:right w:w="105" w:type="dxa"/>
            </w:tcMar>
            <w:vAlign w:val="center"/>
          </w:tcPr>
          <w:p>
            <w:pPr>
              <w:spacing w:line="360" w:lineRule="auto"/>
              <w:jc w:val="center"/>
              <w:rPr>
                <w:rFonts w:ascii="宋体" w:hAnsi="宋体" w:eastAsia="宋体" w:cs="宋体"/>
                <w:kern w:val="0"/>
                <w:sz w:val="18"/>
                <w:szCs w:val="18"/>
                <w:lang w:bidi="ar"/>
              </w:rPr>
            </w:pPr>
            <w:r>
              <w:rPr>
                <w:rFonts w:hint="eastAsia" w:ascii="宋体" w:hAnsi="宋体" w:eastAsia="宋体" w:cs="宋体"/>
                <w:kern w:val="0"/>
                <w:sz w:val="18"/>
                <w:szCs w:val="18"/>
                <w:lang w:bidi="ar"/>
              </w:rPr>
              <w:t>镇村级电子商务服务站点建设</w:t>
            </w:r>
          </w:p>
        </w:tc>
        <w:tc>
          <w:tcPr>
            <w:tcW w:w="850" w:type="dxa"/>
            <w:tcBorders>
              <w:top w:val="single" w:color="000000" w:sz="8" w:space="0"/>
              <w:left w:val="nil"/>
              <w:right w:val="single" w:color="auto" w:sz="4"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600</w:t>
            </w:r>
          </w:p>
        </w:tc>
        <w:tc>
          <w:tcPr>
            <w:tcW w:w="851" w:type="dxa"/>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3"/>
              <w:widowControl/>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rPr>
              <w:t xml:space="preserve">  </w:t>
            </w:r>
            <w:r>
              <w:rPr>
                <w:rFonts w:hint="eastAsia" w:ascii="宋体" w:hAnsi="宋体" w:cs="宋体"/>
                <w:color w:val="000000"/>
                <w:sz w:val="18"/>
                <w:szCs w:val="18"/>
                <w:lang w:val="en-US" w:eastAsia="zh-CN"/>
              </w:rPr>
              <w:t>307.284</w:t>
            </w:r>
          </w:p>
        </w:tc>
        <w:tc>
          <w:tcPr>
            <w:tcW w:w="992" w:type="dxa"/>
            <w:tcBorders>
              <w:top w:val="single" w:color="000000" w:sz="8"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河南洲山科技有限公司</w:t>
            </w:r>
          </w:p>
        </w:tc>
        <w:tc>
          <w:tcPr>
            <w:tcW w:w="1277" w:type="dxa"/>
            <w:tcBorders>
              <w:top w:val="single" w:color="000000" w:sz="8"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20</w:t>
            </w:r>
            <w:r>
              <w:rPr>
                <w:rFonts w:hint="eastAsia" w:ascii="宋体" w:hAnsi="宋体" w:eastAsia="宋体" w:cs="宋体"/>
                <w:color w:val="000000"/>
                <w:sz w:val="18"/>
                <w:szCs w:val="18"/>
                <w:lang w:val="en-US" w:eastAsia="zh-CN"/>
              </w:rPr>
              <w:t>21</w:t>
            </w:r>
            <w:r>
              <w:rPr>
                <w:rFonts w:hint="eastAsia" w:ascii="宋体" w:hAnsi="宋体" w:eastAsia="宋体" w:cs="宋体"/>
                <w:color w:val="000000"/>
                <w:sz w:val="18"/>
                <w:szCs w:val="18"/>
              </w:rPr>
              <w:t>年底完成</w:t>
            </w:r>
            <w:r>
              <w:rPr>
                <w:rFonts w:hint="eastAsia" w:ascii="宋体" w:hAnsi="宋体" w:eastAsia="宋体" w:cs="宋体"/>
                <w:color w:val="000000"/>
                <w:sz w:val="18"/>
                <w:szCs w:val="18"/>
                <w:lang w:val="en-US" w:eastAsia="zh-CN"/>
              </w:rPr>
              <w:t>624</w:t>
            </w:r>
            <w:r>
              <w:rPr>
                <w:rFonts w:hint="eastAsia" w:ascii="宋体" w:hAnsi="宋体" w:eastAsia="宋体" w:cs="宋体"/>
                <w:color w:val="000000"/>
                <w:sz w:val="18"/>
                <w:szCs w:val="18"/>
              </w:rPr>
              <w:t>个站点建设和运营，包含143个贫困村点建设</w:t>
            </w:r>
          </w:p>
        </w:tc>
        <w:tc>
          <w:tcPr>
            <w:tcW w:w="4070" w:type="dxa"/>
            <w:tcBorders>
              <w:top w:val="single" w:color="000000" w:sz="8" w:space="0"/>
              <w:left w:val="single" w:color="auto" w:sz="4"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both"/>
              <w:rPr>
                <w:rFonts w:ascii="宋体" w:hAnsi="宋体" w:eastAsia="宋体" w:cs="宋体"/>
                <w:color w:val="000000"/>
                <w:sz w:val="18"/>
                <w:szCs w:val="18"/>
              </w:rPr>
            </w:pPr>
            <w:r>
              <w:rPr>
                <w:rFonts w:hint="eastAsia" w:ascii="宋体" w:hAnsi="宋体" w:eastAsia="宋体" w:cs="宋体"/>
                <w:color w:val="000000"/>
                <w:sz w:val="18"/>
                <w:szCs w:val="18"/>
              </w:rPr>
              <w:t>支持政府或者承办企业为开展电子商务服务对乡村电子商务服务站点进行改造装修，配置站点办公相关设备和对站点工作人员的相关培训等。村级站点为村民提供更多便民服务，镇级站点应具备电子商务普及推广、小微电商（网商）孵化、整合当地农特产品，农特产品线下体验、网络代购代销、承接物流快递等功能。</w:t>
            </w:r>
          </w:p>
        </w:tc>
        <w:tc>
          <w:tcPr>
            <w:tcW w:w="2281" w:type="dxa"/>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3"/>
              <w:widowControl/>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村级服务站开展宣讲工作，</w:t>
            </w:r>
            <w:r>
              <w:rPr>
                <w:rFonts w:hint="eastAsia" w:ascii="宋体" w:hAnsi="宋体" w:eastAsia="宋体" w:cs="宋体"/>
                <w:color w:val="000000"/>
                <w:sz w:val="18"/>
                <w:szCs w:val="18"/>
                <w:lang w:val="en-US" w:eastAsia="zh-CN"/>
              </w:rPr>
              <w:t>目前已</w:t>
            </w:r>
            <w:r>
              <w:rPr>
                <w:rFonts w:hint="eastAsia" w:ascii="宋体" w:hAnsi="宋体" w:eastAsia="宋体" w:cs="宋体"/>
                <w:color w:val="000000"/>
                <w:sz w:val="18"/>
                <w:szCs w:val="18"/>
              </w:rPr>
              <w:t>签约</w:t>
            </w:r>
            <w:r>
              <w:rPr>
                <w:rFonts w:hint="eastAsia" w:ascii="宋体" w:hAnsi="宋体" w:eastAsia="宋体" w:cs="宋体"/>
                <w:color w:val="000000"/>
                <w:sz w:val="18"/>
                <w:szCs w:val="18"/>
                <w:lang w:val="en-US" w:eastAsia="zh-CN"/>
              </w:rPr>
              <w:t>624</w:t>
            </w:r>
            <w:r>
              <w:rPr>
                <w:rFonts w:hint="eastAsia" w:ascii="宋体" w:hAnsi="宋体" w:eastAsia="宋体" w:cs="宋体"/>
                <w:color w:val="000000"/>
                <w:sz w:val="18"/>
                <w:szCs w:val="18"/>
              </w:rPr>
              <w:t>家服务站点，镇</w:t>
            </w:r>
            <w:r>
              <w:rPr>
                <w:rFonts w:hint="eastAsia" w:ascii="宋体" w:hAnsi="宋体" w:eastAsia="宋体" w:cs="宋体"/>
                <w:color w:val="000000"/>
                <w:sz w:val="18"/>
                <w:szCs w:val="18"/>
                <w:lang w:val="en-US" w:eastAsia="zh-CN"/>
              </w:rPr>
              <w:t>级24</w:t>
            </w:r>
            <w:r>
              <w:rPr>
                <w:rFonts w:hint="eastAsia" w:ascii="宋体" w:hAnsi="宋体" w:eastAsia="宋体" w:cs="宋体"/>
                <w:color w:val="000000"/>
                <w:sz w:val="18"/>
                <w:szCs w:val="18"/>
              </w:rPr>
              <w:t>个，村级</w:t>
            </w:r>
            <w:r>
              <w:rPr>
                <w:rFonts w:hint="eastAsia" w:ascii="宋体" w:hAnsi="宋体" w:eastAsia="宋体" w:cs="宋体"/>
                <w:color w:val="000000"/>
                <w:sz w:val="18"/>
                <w:szCs w:val="18"/>
                <w:lang w:val="en-US" w:eastAsia="zh-CN"/>
              </w:rPr>
              <w:t>600</w:t>
            </w:r>
            <w:r>
              <w:rPr>
                <w:rFonts w:hint="eastAsia" w:ascii="宋体" w:hAnsi="宋体" w:eastAsia="宋体" w:cs="宋体"/>
                <w:color w:val="000000"/>
                <w:sz w:val="18"/>
                <w:szCs w:val="18"/>
              </w:rPr>
              <w:t>个</w:t>
            </w:r>
            <w:r>
              <w:rPr>
                <w:rFonts w:hint="eastAsia" w:ascii="宋体" w:hAnsi="宋体" w:eastAsia="宋体" w:cs="宋体"/>
                <w:color w:val="000000"/>
                <w:sz w:val="18"/>
                <w:szCs w:val="18"/>
                <w:lang w:eastAsia="zh-CN"/>
              </w:rPr>
              <w:t>。</w:t>
            </w:r>
            <w:r>
              <w:rPr>
                <w:rFonts w:hint="eastAsia" w:ascii="宋体" w:hAnsi="宋体" w:cs="宋体"/>
                <w:color w:val="000000"/>
                <w:sz w:val="18"/>
                <w:szCs w:val="18"/>
                <w:lang w:eastAsia="zh-CN"/>
              </w:rPr>
              <w:t>村级服务站配套设备陆续发放中。</w:t>
            </w:r>
          </w:p>
        </w:tc>
      </w:tr>
      <w:tr>
        <w:tblPrEx>
          <w:tblCellMar>
            <w:top w:w="15" w:type="dxa"/>
            <w:left w:w="15" w:type="dxa"/>
            <w:bottom w:w="15" w:type="dxa"/>
            <w:right w:w="15" w:type="dxa"/>
          </w:tblCellMar>
        </w:tblPrEx>
        <w:trPr>
          <w:trHeight w:val="7617" w:hRule="atLeast"/>
          <w:jc w:val="center"/>
        </w:trPr>
        <w:tc>
          <w:tcPr>
            <w:tcW w:w="402" w:type="dxa"/>
            <w:tcBorders>
              <w:top w:val="single" w:color="000000" w:sz="8" w:space="0"/>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952" w:type="dxa"/>
            <w:tcBorders>
              <w:top w:val="single" w:color="000000" w:sz="8" w:space="0"/>
              <w:left w:val="nil"/>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sz w:val="18"/>
                <w:szCs w:val="18"/>
              </w:rPr>
              <w:t>电子商务人才培养体系建设</w:t>
            </w:r>
          </w:p>
        </w:tc>
        <w:tc>
          <w:tcPr>
            <w:tcW w:w="850" w:type="dxa"/>
            <w:tcBorders>
              <w:top w:val="single" w:color="000000" w:sz="8" w:space="0"/>
              <w:left w:val="nil"/>
              <w:right w:val="single" w:color="auto" w:sz="4"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300</w:t>
            </w:r>
          </w:p>
        </w:tc>
        <w:tc>
          <w:tcPr>
            <w:tcW w:w="851" w:type="dxa"/>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3"/>
              <w:widowControl/>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207.22</w:t>
            </w:r>
          </w:p>
        </w:tc>
        <w:tc>
          <w:tcPr>
            <w:tcW w:w="992" w:type="dxa"/>
            <w:tcBorders>
              <w:top w:val="single" w:color="000000" w:sz="8"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河南省博览事务局有限公司</w:t>
            </w:r>
          </w:p>
        </w:tc>
        <w:tc>
          <w:tcPr>
            <w:tcW w:w="1277" w:type="dxa"/>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202</w:t>
            </w:r>
            <w:r>
              <w:rPr>
                <w:rFonts w:hint="eastAsia" w:ascii="宋体" w:hAnsi="宋体" w:eastAsia="宋体" w:cs="宋体"/>
                <w:color w:val="000000"/>
                <w:sz w:val="18"/>
                <w:szCs w:val="18"/>
                <w:lang w:val="en-US" w:eastAsia="zh-CN"/>
              </w:rPr>
              <w:t>1</w:t>
            </w:r>
            <w:r>
              <w:rPr>
                <w:rFonts w:hint="eastAsia" w:ascii="宋体" w:hAnsi="宋体" w:eastAsia="宋体" w:cs="宋体"/>
                <w:color w:val="000000"/>
                <w:sz w:val="18"/>
                <w:szCs w:val="18"/>
              </w:rPr>
              <w:t>年底完成培训10000人次以上</w:t>
            </w:r>
          </w:p>
        </w:tc>
        <w:tc>
          <w:tcPr>
            <w:tcW w:w="4070" w:type="dxa"/>
            <w:tcBorders>
              <w:top w:val="single" w:color="000000" w:sz="8" w:space="0"/>
              <w:left w:val="single" w:color="auto" w:sz="4" w:space="0"/>
              <w:right w:val="single" w:color="000000" w:sz="8" w:space="0"/>
            </w:tcBorders>
            <w:shd w:val="clear" w:color="auto" w:fill="FFFFFF"/>
            <w:noWrap w:val="0"/>
            <w:tcMar>
              <w:top w:w="0" w:type="dxa"/>
              <w:left w:w="105" w:type="dxa"/>
              <w:bottom w:w="0" w:type="dxa"/>
              <w:right w:w="105" w:type="dxa"/>
            </w:tcMar>
            <w:vAlign w:val="center"/>
          </w:tcPr>
          <w:p>
            <w:pPr>
              <w:widowControl/>
              <w:spacing w:line="26" w:lineRule="atLeast"/>
              <w:jc w:val="left"/>
              <w:rPr>
                <w:rFonts w:ascii="宋体" w:hAnsi="宋体" w:eastAsia="宋体" w:cs="宋体"/>
                <w:color w:val="000000"/>
                <w:sz w:val="18"/>
                <w:szCs w:val="18"/>
              </w:rPr>
            </w:pPr>
            <w:r>
              <w:rPr>
                <w:rFonts w:hint="eastAsia" w:ascii="宋体" w:hAnsi="宋体" w:eastAsia="宋体" w:cs="宋体"/>
                <w:kern w:val="0"/>
                <w:sz w:val="18"/>
                <w:szCs w:val="18"/>
                <w:lang w:bidi="ar"/>
              </w:rPr>
              <w:t>通过对政府人员、专业合作社、种养殖大户、返乡青年、有志愿往电商方面发展的人员、残疾人员、贫困人口等不同人群,分类进行电商基础知识、网上开店技巧、网购操作等培训，提高各类人群对电子商务的认识,增强电商氛围,普及电商应用,增加电商从业人员,促进电商扶贫。3年内内全县累计培训10000人次,其中对70%有能力有意愿的贫困户进行免费培训，对70%乡镇村干部和第一书记轮训,在70%有条件的贫困户每村培育一名电商带头人。</w:t>
            </w:r>
          </w:p>
        </w:tc>
        <w:tc>
          <w:tcPr>
            <w:tcW w:w="2281" w:type="dxa"/>
            <w:tcBorders>
              <w:top w:val="single" w:color="auto" w:sz="4" w:space="0"/>
              <w:left w:val="nil"/>
              <w:right w:val="single" w:color="000000" w:sz="8" w:space="0"/>
            </w:tcBorders>
            <w:shd w:val="clear" w:color="auto" w:fill="FFFFFF"/>
            <w:noWrap w:val="0"/>
            <w:tcMar>
              <w:top w:w="0" w:type="dxa"/>
              <w:left w:w="105" w:type="dxa"/>
              <w:bottom w:w="0" w:type="dxa"/>
              <w:right w:w="105" w:type="dxa"/>
            </w:tcMar>
            <w:vAlign w:val="center"/>
          </w:tcPr>
          <w:p>
            <w:pPr>
              <w:pStyle w:val="3"/>
              <w:jc w:val="center"/>
              <w:rPr>
                <w:rFonts w:hint="default" w:ascii="宋体" w:hAnsi="宋体" w:eastAsia="宋体" w:cs="宋体"/>
                <w:color w:val="000000"/>
                <w:sz w:val="18"/>
                <w:szCs w:val="18"/>
                <w:lang w:val="en-US"/>
              </w:rPr>
            </w:pPr>
            <w:r>
              <w:rPr>
                <w:rFonts w:hint="eastAsia" w:ascii="宋体" w:hAnsi="宋体" w:eastAsia="宋体" w:cs="宋体"/>
                <w:color w:val="000000"/>
                <w:sz w:val="18"/>
                <w:szCs w:val="18"/>
                <w:lang w:val="en-US" w:eastAsia="zh-CN"/>
              </w:rPr>
              <w:t>本月开设高级班培训人员</w:t>
            </w:r>
            <w:r>
              <w:rPr>
                <w:rFonts w:hint="eastAsia" w:ascii="宋体" w:hAnsi="宋体" w:cs="宋体"/>
                <w:color w:val="000000"/>
                <w:sz w:val="18"/>
                <w:szCs w:val="18"/>
                <w:lang w:val="en-US" w:eastAsia="zh-CN"/>
              </w:rPr>
              <w:t>129</w:t>
            </w:r>
            <w:r>
              <w:rPr>
                <w:rFonts w:hint="eastAsia" w:ascii="宋体" w:hAnsi="宋体" w:eastAsia="宋体" w:cs="宋体"/>
                <w:color w:val="000000"/>
                <w:sz w:val="18"/>
                <w:szCs w:val="18"/>
                <w:lang w:val="en-US" w:eastAsia="zh-CN"/>
              </w:rPr>
              <w:t>人次</w:t>
            </w:r>
            <w:r>
              <w:rPr>
                <w:rFonts w:hint="eastAsia" w:ascii="宋体" w:hAnsi="宋体" w:cs="宋体"/>
                <w:color w:val="000000"/>
                <w:sz w:val="18"/>
                <w:szCs w:val="18"/>
                <w:lang w:val="en-US" w:eastAsia="zh-CN"/>
              </w:rPr>
              <w:t>，乡镇干部35人次，贫苦户656人次，其他人员360人次；累计培训1180人次。</w:t>
            </w:r>
          </w:p>
        </w:tc>
      </w:tr>
      <w:tr>
        <w:tblPrEx>
          <w:tblCellMar>
            <w:top w:w="15" w:type="dxa"/>
            <w:left w:w="15" w:type="dxa"/>
            <w:bottom w:w="15" w:type="dxa"/>
            <w:right w:w="15" w:type="dxa"/>
          </w:tblCellMar>
        </w:tblPrEx>
        <w:trPr>
          <w:jc w:val="center"/>
        </w:trPr>
        <w:tc>
          <w:tcPr>
            <w:tcW w:w="402"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952"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sz w:val="18"/>
                <w:szCs w:val="18"/>
              </w:rPr>
              <w:t>电子商务物流配送体系建设</w:t>
            </w:r>
          </w:p>
        </w:tc>
        <w:tc>
          <w:tcPr>
            <w:tcW w:w="850"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sz w:val="18"/>
                <w:szCs w:val="18"/>
              </w:rPr>
              <w:t>550</w:t>
            </w:r>
          </w:p>
        </w:tc>
        <w:tc>
          <w:tcPr>
            <w:tcW w:w="851"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407.34</w:t>
            </w:r>
            <w:bookmarkStart w:id="0" w:name="_GoBack"/>
            <w:bookmarkEnd w:id="0"/>
          </w:p>
        </w:tc>
        <w:tc>
          <w:tcPr>
            <w:tcW w:w="992"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夏邑众合物流有限公司</w:t>
            </w:r>
          </w:p>
        </w:tc>
        <w:tc>
          <w:tcPr>
            <w:tcW w:w="1277" w:type="dxa"/>
            <w:tcBorders>
              <w:top w:val="single" w:color="auto" w:sz="4"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2019年6月底县级仓储中心具备分拣功能，为电商提供基本的仓储服务，软件达成初步签约，8月正式投入使用。同时，整合多个乡镇物流服务站统一打造形象，统一标准和规范制度。</w:t>
            </w:r>
          </w:p>
        </w:tc>
        <w:tc>
          <w:tcPr>
            <w:tcW w:w="4070"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numPr>
                <w:ilvl w:val="0"/>
                <w:numId w:val="1"/>
              </w:numPr>
              <w:spacing w:beforeAutospacing="0" w:afterAutospacing="0"/>
              <w:jc w:val="both"/>
              <w:rPr>
                <w:rFonts w:ascii="宋体" w:hAnsi="宋体" w:eastAsia="宋体" w:cs="宋体"/>
                <w:color w:val="000000"/>
                <w:sz w:val="18"/>
                <w:szCs w:val="18"/>
              </w:rPr>
            </w:pPr>
            <w:r>
              <w:rPr>
                <w:rFonts w:hint="eastAsia" w:ascii="宋体" w:hAnsi="宋体" w:eastAsia="宋体" w:cs="宋体"/>
                <w:color w:val="000000"/>
                <w:sz w:val="18"/>
                <w:szCs w:val="18"/>
              </w:rPr>
              <w:t>县级仓储配送中心面积不低于2000平方米，具备分拣设备、配送车辆等。</w:t>
            </w:r>
          </w:p>
          <w:p>
            <w:pPr>
              <w:pStyle w:val="3"/>
              <w:widowControl/>
              <w:numPr>
                <w:ilvl w:val="0"/>
                <w:numId w:val="1"/>
              </w:numPr>
              <w:spacing w:beforeAutospacing="0" w:afterAutospacing="0"/>
              <w:jc w:val="both"/>
              <w:rPr>
                <w:rFonts w:ascii="宋体" w:hAnsi="宋体" w:eastAsia="宋体" w:cs="宋体"/>
                <w:color w:val="000000"/>
                <w:sz w:val="18"/>
                <w:szCs w:val="18"/>
              </w:rPr>
            </w:pPr>
            <w:r>
              <w:rPr>
                <w:rFonts w:hint="eastAsia" w:ascii="宋体" w:hAnsi="宋体" w:eastAsia="宋体" w:cs="宋体"/>
                <w:color w:val="000000"/>
                <w:sz w:val="18"/>
                <w:szCs w:val="18"/>
              </w:rPr>
              <w:t>乡级和村级物流服务站点。整合多个乡镇物流服务站点，打造物流共享服务站，融合多家社会快递资源，统一打造形象，统一设定标准和管理规范。</w:t>
            </w:r>
          </w:p>
          <w:p>
            <w:pPr>
              <w:pStyle w:val="3"/>
              <w:widowControl/>
              <w:numPr>
                <w:ilvl w:val="0"/>
                <w:numId w:val="1"/>
              </w:numPr>
              <w:spacing w:beforeAutospacing="0" w:afterAutospacing="0"/>
              <w:jc w:val="both"/>
              <w:rPr>
                <w:rFonts w:ascii="宋体" w:hAnsi="宋体" w:eastAsia="宋体" w:cs="宋体"/>
                <w:color w:val="000000"/>
                <w:sz w:val="18"/>
                <w:szCs w:val="18"/>
              </w:rPr>
            </w:pPr>
            <w:r>
              <w:rPr>
                <w:rFonts w:hint="eastAsia" w:ascii="宋体" w:hAnsi="宋体" w:eastAsia="宋体" w:cs="宋体"/>
                <w:color w:val="000000"/>
                <w:sz w:val="18"/>
                <w:szCs w:val="18"/>
              </w:rPr>
              <w:t>物流信息统计分析系统。将每天的实时配送数据传至电子商务公共服务中心的大数据中心，通过数据分析制定合理的物流整合配送方案。</w:t>
            </w:r>
          </w:p>
          <w:p>
            <w:pPr>
              <w:pStyle w:val="3"/>
              <w:widowControl/>
              <w:numPr>
                <w:ilvl w:val="0"/>
                <w:numId w:val="1"/>
              </w:numPr>
              <w:spacing w:beforeAutospacing="0" w:afterAutospacing="0"/>
              <w:jc w:val="both"/>
              <w:rPr>
                <w:rFonts w:ascii="宋体" w:hAnsi="宋体" w:eastAsia="宋体" w:cs="宋体"/>
                <w:color w:val="000000"/>
                <w:sz w:val="18"/>
                <w:szCs w:val="18"/>
              </w:rPr>
            </w:pPr>
            <w:r>
              <w:rPr>
                <w:rFonts w:hint="eastAsia" w:ascii="宋体" w:hAnsi="宋体" w:eastAsia="宋体" w:cs="宋体"/>
                <w:color w:val="000000"/>
                <w:sz w:val="18"/>
                <w:szCs w:val="18"/>
              </w:rPr>
              <w:t>为县内电商企业提供云仓服务。</w:t>
            </w:r>
          </w:p>
        </w:tc>
        <w:tc>
          <w:tcPr>
            <w:tcW w:w="2281" w:type="dxa"/>
            <w:tcBorders>
              <w:top w:val="single" w:color="auto" w:sz="4"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both"/>
              <w:rPr>
                <w:rFonts w:hint="eastAsia" w:ascii="宋体" w:hAnsi="宋体" w:eastAsia="宋体" w:cs="宋体"/>
                <w:color w:val="000000"/>
                <w:sz w:val="18"/>
                <w:szCs w:val="18"/>
                <w:lang w:eastAsia="zh-CN"/>
              </w:rPr>
            </w:pPr>
            <w:r>
              <w:rPr>
                <w:rFonts w:hint="eastAsia" w:ascii="宋体" w:hAnsi="宋体" w:eastAsia="宋体" w:cs="宋体"/>
                <w:color w:val="000000"/>
                <w:spacing w:val="0"/>
                <w:position w:val="0"/>
                <w:sz w:val="18"/>
                <w:shd w:val="clear" w:color="auto" w:fill="auto"/>
              </w:rPr>
              <w:t>村点制度牌624套已经全部制作完成，</w:t>
            </w:r>
            <w:r>
              <w:rPr>
                <w:rFonts w:hint="eastAsia" w:ascii="宋体" w:hAnsi="宋体" w:eastAsia="宋体" w:cs="宋体"/>
                <w:color w:val="000000"/>
                <w:spacing w:val="0"/>
                <w:position w:val="0"/>
                <w:sz w:val="18"/>
                <w:shd w:val="clear" w:color="auto" w:fill="auto"/>
                <w:lang w:eastAsia="zh-CN"/>
              </w:rPr>
              <w:t>站点设备陆续发放中，</w:t>
            </w:r>
            <w:r>
              <w:rPr>
                <w:rFonts w:hint="eastAsia" w:ascii="宋体" w:hAnsi="宋体" w:eastAsia="宋体" w:cs="宋体"/>
                <w:color w:val="000000"/>
                <w:spacing w:val="0"/>
                <w:position w:val="0"/>
                <w:sz w:val="18"/>
                <w:shd w:val="clear" w:color="auto" w:fill="auto"/>
              </w:rPr>
              <w:t>电动厢式货车已经陆续发放到乡镇，共计发放1</w:t>
            </w:r>
            <w:r>
              <w:rPr>
                <w:rFonts w:hint="eastAsia" w:ascii="宋体" w:hAnsi="宋体" w:eastAsia="宋体" w:cs="宋体"/>
                <w:color w:val="000000"/>
                <w:spacing w:val="0"/>
                <w:position w:val="0"/>
                <w:sz w:val="18"/>
                <w:shd w:val="clear" w:color="auto" w:fill="auto"/>
                <w:lang w:val="en-US" w:eastAsia="zh-CN"/>
              </w:rPr>
              <w:t>8</w:t>
            </w:r>
            <w:r>
              <w:rPr>
                <w:rFonts w:hint="eastAsia" w:ascii="宋体" w:hAnsi="宋体" w:eastAsia="宋体" w:cs="宋体"/>
                <w:color w:val="000000"/>
                <w:spacing w:val="0"/>
                <w:position w:val="0"/>
                <w:sz w:val="18"/>
                <w:shd w:val="clear" w:color="auto" w:fill="auto"/>
              </w:rPr>
              <w:t>辆，其余乡镇正在考核发放中，购进4.2米厢式货车3辆并已经投入使用</w:t>
            </w:r>
            <w:r>
              <w:rPr>
                <w:rFonts w:hint="eastAsia" w:ascii="宋体" w:hAnsi="宋体" w:cs="宋体"/>
                <w:color w:val="000000"/>
                <w:spacing w:val="0"/>
                <w:position w:val="0"/>
                <w:sz w:val="18"/>
                <w:shd w:val="clear" w:color="auto" w:fill="auto"/>
                <w:lang w:eastAsia="zh-CN"/>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A6E7CA"/>
    <w:multiLevelType w:val="singleLevel"/>
    <w:tmpl w:val="B8A6E7C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34693A"/>
    <w:rsid w:val="207521C4"/>
    <w:rsid w:val="71346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adjustRightInd w:val="0"/>
      <w:snapToGrid w:val="0"/>
      <w:spacing w:beforeLines="50" w:afterLines="50" w:line="360" w:lineRule="auto"/>
      <w:jc w:val="center"/>
      <w:outlineLvl w:val="1"/>
    </w:pPr>
    <w:rPr>
      <w:rFonts w:ascii="宋体" w:hAnsi="宋体"/>
      <w:b/>
      <w:bCs/>
      <w:kern w:val="0"/>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2021-12-01T01:20:00Z</dcterms:created>
  <dc:creator>Administrator</dc:creator>
  <cp:lastModifiedBy>Administrator</cp:lastModifiedBy>
  <dcterms:modified xsi:type="dcterms:W3CDTF">2021-12-23T01:45:44Z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7138F9CF20644F308A00745C039E14E5</vt:lpwstr>
  </property>
</Properties>
</file>