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rFonts w:hint="default"/>
          <w:shd w:val="clear" w:color="auto" w:fill="FFFFFF"/>
        </w:rPr>
      </w:pPr>
      <w:r>
        <w:rPr>
          <w:shd w:val="clear" w:color="auto" w:fill="FFFFFF"/>
        </w:rPr>
        <w:t>夏邑县电子商务进农村综合示范项目工作进度</w:t>
      </w:r>
    </w:p>
    <w:p>
      <w:pPr>
        <w:pStyle w:val="2"/>
        <w:spacing w:before="100" w:after="100"/>
        <w:jc w:val="center"/>
        <w:rPr>
          <w:rFonts w:hint="default"/>
          <w:shd w:val="clear" w:color="auto" w:fill="FFFFFF"/>
        </w:rPr>
      </w:pPr>
      <w:r>
        <w:rPr>
          <w:shd w:val="clear" w:color="auto" w:fill="FFFFFF"/>
        </w:rPr>
        <w:t>202</w:t>
      </w:r>
      <w:r>
        <w:rPr>
          <w:rFonts w:hint="eastAsia"/>
          <w:shd w:val="clear" w:color="auto" w:fill="FFFFFF"/>
          <w:lang w:val="en-US" w:eastAsia="zh-CN"/>
        </w:rPr>
        <w:t>1</w:t>
      </w:r>
      <w:r>
        <w:rPr>
          <w:shd w:val="clear" w:color="auto" w:fill="FFFFFF"/>
        </w:rPr>
        <w:t>年</w:t>
      </w:r>
      <w:r>
        <w:rPr>
          <w:rFonts w:hint="eastAsia"/>
          <w:shd w:val="clear" w:color="auto" w:fill="FFFFFF"/>
          <w:lang w:val="en-US" w:eastAsia="zh-CN"/>
        </w:rPr>
        <w:t>8</w:t>
      </w:r>
      <w:r>
        <w:rPr>
          <w:shd w:val="clear" w:color="auto" w:fill="FFFFFF"/>
        </w:rPr>
        <w:t>月份</w:t>
      </w:r>
    </w:p>
    <w:tbl>
      <w:tblPr>
        <w:tblStyle w:val="4"/>
        <w:tblW w:w="11675" w:type="dxa"/>
        <w:jc w:val="center"/>
        <w:tblLayout w:type="fixed"/>
        <w:tblCellMar>
          <w:top w:w="15" w:type="dxa"/>
          <w:left w:w="15" w:type="dxa"/>
          <w:bottom w:w="15" w:type="dxa"/>
          <w:right w:w="15" w:type="dxa"/>
        </w:tblCellMar>
      </w:tblPr>
      <w:tblGrid>
        <w:gridCol w:w="402"/>
        <w:gridCol w:w="952"/>
        <w:gridCol w:w="850"/>
        <w:gridCol w:w="851"/>
        <w:gridCol w:w="992"/>
        <w:gridCol w:w="1277"/>
        <w:gridCol w:w="4070"/>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扶持资金额度(万元)</w:t>
            </w:r>
          </w:p>
        </w:tc>
        <w:tc>
          <w:tcPr>
            <w:tcW w:w="85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财政已拨付资金(万元)</w:t>
            </w:r>
          </w:p>
        </w:tc>
        <w:tc>
          <w:tcPr>
            <w:tcW w:w="99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中标（承办）企业</w:t>
            </w:r>
          </w:p>
        </w:tc>
        <w:tc>
          <w:tcPr>
            <w:tcW w:w="1277"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完成时限</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r>
              <w:rPr>
                <w:rFonts w:hint="eastAsia" w:ascii="宋体" w:hAnsi="宋体" w:eastAsia="宋体" w:cs="宋体"/>
                <w:color w:val="000000"/>
                <w:sz w:val="18"/>
                <w:szCs w:val="18"/>
              </w:rPr>
              <w:t>450</w:t>
            </w:r>
          </w:p>
        </w:tc>
        <w:tc>
          <w:tcPr>
            <w:tcW w:w="851"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289.85</w:t>
            </w:r>
          </w:p>
        </w:tc>
        <w:tc>
          <w:tcPr>
            <w:tcW w:w="992"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厦门导航者软件科技有限公司   </w:t>
            </w:r>
          </w:p>
          <w:p>
            <w:pPr>
              <w:pStyle w:val="3"/>
              <w:jc w:val="center"/>
              <w:rPr>
                <w:rFonts w:ascii="宋体" w:hAnsi="宋体" w:eastAsia="宋体" w:cs="宋体"/>
                <w:color w:val="000000"/>
                <w:sz w:val="18"/>
                <w:szCs w:val="18"/>
              </w:rPr>
            </w:pPr>
          </w:p>
        </w:tc>
        <w:tc>
          <w:tcPr>
            <w:tcW w:w="1277"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2020年底完善所有配置，并投入运营</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sz w:val="18"/>
                <w:szCs w:val="18"/>
              </w:rPr>
              <w:t>建设1个县域电子商务公共服务中心，设立接待中心、特色农产品展示中心、电商培训室、多媒体大会议室、电商沙龙区、农产品检测中心、大数据动态展示中心、电子商务公共服务平台，提供运营推广、数据统计、电商咨询、线上服务、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特色馆正常管理运营中，摄影中心完成投入并运营中</w:t>
            </w:r>
            <w:r>
              <w:rPr>
                <w:rFonts w:hint="eastAsia" w:ascii="宋体" w:hAnsi="宋体" w:eastAsia="宋体" w:cs="宋体"/>
                <w:color w:val="000000"/>
                <w:sz w:val="18"/>
                <w:szCs w:val="18"/>
                <w:lang w:eastAsia="zh-CN"/>
              </w:rPr>
              <w:t>帮助企业拍摄产品照片</w:t>
            </w:r>
            <w:r>
              <w:rPr>
                <w:rFonts w:hint="eastAsia" w:ascii="宋体" w:hAnsi="宋体" w:eastAsia="宋体" w:cs="宋体"/>
                <w:color w:val="000000"/>
                <w:sz w:val="18"/>
                <w:szCs w:val="18"/>
              </w:rPr>
              <w:t>，直播室</w:t>
            </w:r>
            <w:r>
              <w:rPr>
                <w:rFonts w:hint="eastAsia" w:ascii="宋体" w:hAnsi="宋体" w:eastAsia="宋体" w:cs="宋体"/>
                <w:color w:val="000000"/>
                <w:sz w:val="18"/>
                <w:szCs w:val="18"/>
                <w:lang w:eastAsia="zh-CN"/>
              </w:rPr>
              <w:t>正常</w:t>
            </w:r>
            <w:r>
              <w:rPr>
                <w:rFonts w:hint="eastAsia" w:ascii="宋体" w:hAnsi="宋体" w:eastAsia="宋体" w:cs="宋体"/>
                <w:color w:val="000000"/>
                <w:sz w:val="18"/>
                <w:szCs w:val="18"/>
              </w:rPr>
              <w:t>运营中，公共服务平台日常管理和运营中。</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r>
              <w:rPr>
                <w:rFonts w:hint="eastAsia" w:ascii="宋体" w:hAnsi="宋体" w:eastAsia="宋体" w:cs="宋体"/>
                <w:color w:val="000000"/>
                <w:sz w:val="18"/>
                <w:szCs w:val="18"/>
              </w:rPr>
              <w:t>2020底完成区域品牌注册，并持续推进</w:t>
            </w:r>
          </w:p>
        </w:tc>
        <w:tc>
          <w:tcPr>
            <w:tcW w:w="4070"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color w:val="000000"/>
                <w:kern w:val="0"/>
                <w:sz w:val="18"/>
                <w:szCs w:val="18"/>
              </w:rPr>
              <w:t>围绕“农产品上行”为核心，打造夏邑县农产品区域公用品牌，重点扶持5 家以上示范标杆企业，建立夏邑县农特产品标准化数据库，对特色产品进行分级、开发、优化，将农产品转化为农产商品，建设形成夏邑县特色产品资源库。配置对应的可视化设备、网络传输、溯源等设施设备，建立夏邑县农产品质量保障与追溯平台，进一步提升夏邑县农产品的商品化、标准化、品牌化。建设线上线下特色产品展示馆。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rPr>
                <w:rFonts w:hint="eastAsia" w:ascii="宋体" w:hAnsi="宋体" w:eastAsia="宋体" w:cs="宋体"/>
                <w:sz w:val="18"/>
                <w:szCs w:val="18"/>
                <w:lang w:eastAsia="zh-CN"/>
              </w:rPr>
            </w:pPr>
            <w:r>
              <w:rPr>
                <w:rFonts w:hint="eastAsia" w:ascii="宋体" w:hAnsi="宋体" w:eastAsia="宋体" w:cs="宋体"/>
                <w:sz w:val="18"/>
                <w:szCs w:val="18"/>
              </w:rPr>
              <w:t>通过传统媒体和线下电商展会、线上网络媒体多种方式宣传了夏邑公共品牌，</w:t>
            </w:r>
            <w:r>
              <w:rPr>
                <w:rFonts w:hint="eastAsia" w:ascii="宋体" w:hAnsi="宋体" w:eastAsia="宋体" w:cs="宋体"/>
                <w:sz w:val="18"/>
                <w:szCs w:val="18"/>
                <w:lang w:eastAsia="zh-CN"/>
              </w:rPr>
              <w:t>溯源系统运行管理中</w:t>
            </w:r>
            <w:r>
              <w:rPr>
                <w:rFonts w:hint="eastAsia" w:ascii="宋体" w:hAnsi="宋体" w:cs="宋体"/>
                <w:sz w:val="18"/>
                <w:szCs w:val="18"/>
                <w:lang w:eastAsia="zh-CN"/>
              </w:rPr>
              <w:t>。</w:t>
            </w:r>
          </w:p>
          <w:p>
            <w:pPr>
              <w:rPr>
                <w:rFonts w:ascii="宋体" w:hAnsi="宋体" w:eastAsia="宋体" w:cs="宋体"/>
                <w:color w:val="000000"/>
                <w:kern w:val="0"/>
                <w:sz w:val="18"/>
                <w:szCs w:val="18"/>
              </w:rPr>
            </w:pP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电子商务进农村宣传与应用推广</w:t>
            </w:r>
          </w:p>
        </w:tc>
        <w:tc>
          <w:tcPr>
            <w:tcW w:w="850" w:type="dxa"/>
            <w:vMerge w:val="continue"/>
            <w:tcBorders>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配合工作推进情况开展</w:t>
            </w:r>
          </w:p>
        </w:tc>
        <w:tc>
          <w:tcPr>
            <w:tcW w:w="4070"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定期组织企业沙龙交流活动，通过多种方式宣传农村电商，营造发展农村电商的浓厚氛围，加快农民触网、入网步伐；充分利用传统媒体传播，线下电商展会传播与线上网络媒体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bidi w:val="0"/>
              <w:rPr>
                <w:rFonts w:hint="eastAsia" w:ascii="宋体" w:hAnsi="宋体" w:eastAsia="宋体" w:cs="宋体"/>
                <w:color w:val="000000"/>
                <w:szCs w:val="18"/>
                <w:lang w:val="en-US" w:eastAsia="zh-CN"/>
              </w:rPr>
            </w:pPr>
            <w:r>
              <w:rPr>
                <w:rFonts w:hint="eastAsia" w:ascii="宋体" w:hAnsi="宋体" w:eastAsia="宋体" w:cs="宋体"/>
                <w:sz w:val="18"/>
                <w:szCs w:val="18"/>
                <w:lang w:eastAsia="zh-CN"/>
              </w:rPr>
              <w:t>帮助夏邑县农副产品销售，巩固脱贫攻坚成果，帮助贫困群众增收致富。</w:t>
            </w:r>
            <w:r>
              <w:rPr>
                <w:rFonts w:hint="eastAsia" w:ascii="宋体" w:hAnsi="宋体" w:eastAsia="宋体" w:cs="宋体"/>
                <w:sz w:val="18"/>
                <w:szCs w:val="18"/>
              </w:rPr>
              <w:t>整合了夏邑县域媒体、传统媒体以及网络媒体，并对公共品牌、夏邑商城和创业优秀案例进行宣传和推广</w:t>
            </w:r>
            <w:r>
              <w:rPr>
                <w:rFonts w:hint="eastAsia" w:ascii="宋体" w:hAnsi="宋体" w:cs="宋体"/>
                <w:sz w:val="18"/>
                <w:szCs w:val="18"/>
                <w:lang w:eastAsia="zh-CN"/>
              </w:rPr>
              <w:t>。</w:t>
            </w:r>
          </w:p>
        </w:tc>
      </w:tr>
      <w:tr>
        <w:tblPrEx>
          <w:tblCellMar>
            <w:top w:w="15" w:type="dxa"/>
            <w:left w:w="15" w:type="dxa"/>
            <w:bottom w:w="15" w:type="dxa"/>
            <w:right w:w="15" w:type="dxa"/>
          </w:tblCellMar>
        </w:tblPrEx>
        <w:trPr>
          <w:trHeight w:val="90" w:hRule="atLeast"/>
          <w:jc w:val="center"/>
        </w:trPr>
        <w:tc>
          <w:tcPr>
            <w:tcW w:w="402"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spacing w:line="360" w:lineRule="auto"/>
              <w:jc w:val="center"/>
              <w:rPr>
                <w:rFonts w:ascii="宋体" w:hAnsi="宋体" w:eastAsia="宋体" w:cs="宋体"/>
                <w:kern w:val="0"/>
                <w:sz w:val="18"/>
                <w:szCs w:val="18"/>
                <w:lang w:bidi="ar"/>
              </w:rPr>
            </w:pPr>
            <w:r>
              <w:rPr>
                <w:rFonts w:hint="eastAsia" w:ascii="宋体" w:hAnsi="宋体" w:eastAsia="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600</w:t>
            </w:r>
          </w:p>
        </w:tc>
        <w:tc>
          <w:tcPr>
            <w:tcW w:w="85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 xml:space="preserve">  </w:t>
            </w:r>
            <w:r>
              <w:rPr>
                <w:rFonts w:hint="eastAsia" w:ascii="宋体" w:hAnsi="宋体" w:cs="宋体"/>
                <w:color w:val="000000"/>
                <w:sz w:val="18"/>
                <w:szCs w:val="18"/>
                <w:lang w:val="en-US" w:eastAsia="zh-CN"/>
              </w:rPr>
              <w:t>307.284</w:t>
            </w:r>
          </w:p>
        </w:tc>
        <w:tc>
          <w:tcPr>
            <w:tcW w:w="992"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河南洲山科技有限公司</w:t>
            </w:r>
          </w:p>
        </w:tc>
        <w:tc>
          <w:tcPr>
            <w:tcW w:w="1277"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w:t>
            </w:r>
            <w:r>
              <w:rPr>
                <w:rFonts w:hint="eastAsia" w:ascii="宋体" w:hAnsi="宋体" w:eastAsia="宋体" w:cs="宋体"/>
                <w:color w:val="000000"/>
                <w:sz w:val="18"/>
                <w:szCs w:val="18"/>
                <w:lang w:val="en-US" w:eastAsia="zh-CN"/>
              </w:rPr>
              <w:t>21</w:t>
            </w:r>
            <w:r>
              <w:rPr>
                <w:rFonts w:hint="eastAsia" w:ascii="宋体" w:hAnsi="宋体" w:eastAsia="宋体" w:cs="宋体"/>
                <w:color w:val="000000"/>
                <w:sz w:val="18"/>
                <w:szCs w:val="18"/>
              </w:rPr>
              <w:t>年底完成</w:t>
            </w:r>
            <w:r>
              <w:rPr>
                <w:rFonts w:hint="eastAsia" w:ascii="宋体" w:hAnsi="宋体" w:eastAsia="宋体" w:cs="宋体"/>
                <w:color w:val="000000"/>
                <w:sz w:val="18"/>
                <w:szCs w:val="18"/>
                <w:lang w:val="en-US" w:eastAsia="zh-CN"/>
              </w:rPr>
              <w:t>624</w:t>
            </w:r>
            <w:r>
              <w:rPr>
                <w:rFonts w:hint="eastAsia" w:ascii="宋体" w:hAnsi="宋体" w:eastAsia="宋体" w:cs="宋体"/>
                <w:color w:val="000000"/>
                <w:sz w:val="18"/>
                <w:szCs w:val="18"/>
              </w:rPr>
              <w:t>个站点建设和运营，包含143个贫困村点建设</w:t>
            </w:r>
          </w:p>
        </w:tc>
        <w:tc>
          <w:tcPr>
            <w:tcW w:w="4070" w:type="dxa"/>
            <w:tcBorders>
              <w:top w:val="single" w:color="000000" w:sz="8" w:space="0"/>
              <w:left w:val="single" w:color="auto" w:sz="4"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both"/>
              <w:rPr>
                <w:rFonts w:ascii="宋体" w:hAnsi="宋体" w:eastAsia="宋体" w:cs="宋体"/>
                <w:color w:val="000000"/>
                <w:sz w:val="18"/>
                <w:szCs w:val="18"/>
              </w:rPr>
            </w:pPr>
            <w:r>
              <w:rPr>
                <w:rFonts w:hint="eastAsia" w:ascii="宋体" w:hAnsi="宋体" w:eastAsia="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村级服务站开展宣讲工作，</w:t>
            </w:r>
            <w:r>
              <w:rPr>
                <w:rFonts w:hint="eastAsia" w:ascii="宋体" w:hAnsi="宋体" w:eastAsia="宋体" w:cs="宋体"/>
                <w:color w:val="000000"/>
                <w:sz w:val="18"/>
                <w:szCs w:val="18"/>
                <w:lang w:val="en-US" w:eastAsia="zh-CN"/>
              </w:rPr>
              <w:t>目前已</w:t>
            </w:r>
            <w:r>
              <w:rPr>
                <w:rFonts w:hint="eastAsia" w:ascii="宋体" w:hAnsi="宋体" w:eastAsia="宋体" w:cs="宋体"/>
                <w:color w:val="000000"/>
                <w:sz w:val="18"/>
                <w:szCs w:val="18"/>
              </w:rPr>
              <w:t>签约</w:t>
            </w:r>
            <w:r>
              <w:rPr>
                <w:rFonts w:hint="eastAsia" w:ascii="宋体" w:hAnsi="宋体" w:eastAsia="宋体" w:cs="宋体"/>
                <w:color w:val="000000"/>
                <w:sz w:val="18"/>
                <w:szCs w:val="18"/>
                <w:lang w:val="en-US" w:eastAsia="zh-CN"/>
              </w:rPr>
              <w:t>624</w:t>
            </w:r>
            <w:r>
              <w:rPr>
                <w:rFonts w:hint="eastAsia" w:ascii="宋体" w:hAnsi="宋体" w:eastAsia="宋体" w:cs="宋体"/>
                <w:color w:val="000000"/>
                <w:sz w:val="18"/>
                <w:szCs w:val="18"/>
              </w:rPr>
              <w:t>家服务站点，镇</w:t>
            </w:r>
            <w:r>
              <w:rPr>
                <w:rFonts w:hint="eastAsia" w:ascii="宋体" w:hAnsi="宋体" w:eastAsia="宋体" w:cs="宋体"/>
                <w:color w:val="000000"/>
                <w:sz w:val="18"/>
                <w:szCs w:val="18"/>
                <w:lang w:val="en-US" w:eastAsia="zh-CN"/>
              </w:rPr>
              <w:t>级24</w:t>
            </w:r>
            <w:r>
              <w:rPr>
                <w:rFonts w:hint="eastAsia" w:ascii="宋体" w:hAnsi="宋体" w:eastAsia="宋体" w:cs="宋体"/>
                <w:color w:val="000000"/>
                <w:sz w:val="18"/>
                <w:szCs w:val="18"/>
              </w:rPr>
              <w:t>个，村级</w:t>
            </w:r>
            <w:r>
              <w:rPr>
                <w:rFonts w:hint="eastAsia" w:ascii="宋体" w:hAnsi="宋体" w:eastAsia="宋体" w:cs="宋体"/>
                <w:color w:val="000000"/>
                <w:sz w:val="18"/>
                <w:szCs w:val="18"/>
                <w:lang w:val="en-US" w:eastAsia="zh-CN"/>
              </w:rPr>
              <w:t>600</w:t>
            </w:r>
            <w:r>
              <w:rPr>
                <w:rFonts w:hint="eastAsia" w:ascii="宋体" w:hAnsi="宋体" w:eastAsia="宋体" w:cs="宋体"/>
                <w:color w:val="000000"/>
                <w:sz w:val="18"/>
                <w:szCs w:val="18"/>
              </w:rPr>
              <w:t>个</w:t>
            </w:r>
            <w:r>
              <w:rPr>
                <w:rFonts w:hint="eastAsia" w:ascii="宋体" w:hAnsi="宋体" w:eastAsia="宋体" w:cs="宋体"/>
                <w:color w:val="000000"/>
                <w:sz w:val="18"/>
                <w:szCs w:val="18"/>
                <w:lang w:eastAsia="zh-CN"/>
              </w:rPr>
              <w:t>。</w:t>
            </w:r>
            <w:r>
              <w:rPr>
                <w:rFonts w:hint="eastAsia" w:ascii="宋体" w:hAnsi="宋体" w:cs="宋体"/>
                <w:color w:val="000000"/>
                <w:sz w:val="18"/>
                <w:szCs w:val="18"/>
                <w:lang w:eastAsia="zh-CN"/>
              </w:rPr>
              <w:t>村站设备陆续发放中。</w:t>
            </w:r>
          </w:p>
        </w:tc>
      </w:tr>
      <w:tr>
        <w:tblPrEx>
          <w:tblCellMar>
            <w:top w:w="15" w:type="dxa"/>
            <w:left w:w="15" w:type="dxa"/>
            <w:bottom w:w="15" w:type="dxa"/>
            <w:right w:w="15" w:type="dxa"/>
          </w:tblCellMar>
        </w:tblPrEx>
        <w:trPr>
          <w:trHeight w:val="7617" w:hRule="atLeast"/>
          <w:jc w:val="center"/>
        </w:trPr>
        <w:tc>
          <w:tcPr>
            <w:tcW w:w="402"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300</w:t>
            </w:r>
          </w:p>
        </w:tc>
        <w:tc>
          <w:tcPr>
            <w:tcW w:w="85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207.22</w:t>
            </w:r>
          </w:p>
        </w:tc>
        <w:tc>
          <w:tcPr>
            <w:tcW w:w="992"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河南省博览事务局有限公司</w:t>
            </w:r>
          </w:p>
        </w:tc>
        <w:tc>
          <w:tcPr>
            <w:tcW w:w="1277"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年底完成培训10000人次以上</w:t>
            </w:r>
          </w:p>
        </w:tc>
        <w:tc>
          <w:tcPr>
            <w:tcW w:w="4070" w:type="dxa"/>
            <w:tcBorders>
              <w:top w:val="single" w:color="000000" w:sz="8" w:space="0"/>
              <w:left w:val="single" w:color="auto" w:sz="4" w:space="0"/>
              <w:right w:val="single" w:color="000000" w:sz="8" w:space="0"/>
            </w:tcBorders>
            <w:shd w:val="clear" w:color="auto" w:fill="FFFFFF"/>
            <w:noWrap w:val="0"/>
            <w:tcMar>
              <w:top w:w="0" w:type="dxa"/>
              <w:left w:w="105" w:type="dxa"/>
              <w:bottom w:w="0" w:type="dxa"/>
              <w:right w:w="105" w:type="dxa"/>
            </w:tcMar>
            <w:vAlign w:val="center"/>
          </w:tcPr>
          <w:p>
            <w:pPr>
              <w:widowControl/>
              <w:spacing w:line="26" w:lineRule="atLeast"/>
              <w:jc w:val="left"/>
              <w:rPr>
                <w:rFonts w:ascii="宋体" w:hAnsi="宋体" w:eastAsia="宋体" w:cs="宋体"/>
                <w:color w:val="000000"/>
                <w:sz w:val="18"/>
                <w:szCs w:val="18"/>
              </w:rPr>
            </w:pPr>
            <w:r>
              <w:rPr>
                <w:rFonts w:hint="eastAsia" w:ascii="宋体" w:hAnsi="宋体" w:eastAsia="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550</w:t>
            </w:r>
          </w:p>
        </w:tc>
        <w:tc>
          <w:tcPr>
            <w:tcW w:w="85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407.34</w:t>
            </w:r>
            <w:bookmarkStart w:id="0" w:name="_GoBack"/>
            <w:bookmarkEnd w:id="0"/>
          </w:p>
        </w:tc>
        <w:tc>
          <w:tcPr>
            <w:tcW w:w="99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夏邑众合物流有限公司</w:t>
            </w:r>
          </w:p>
        </w:tc>
        <w:tc>
          <w:tcPr>
            <w:tcW w:w="1277" w:type="dxa"/>
            <w:tcBorders>
              <w:top w:val="single" w:color="auto" w:sz="4"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县级仓储配送中心面积不低于2000平方米，具备分拣设备、配送车辆等。</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乡级和村级物流服务站点。整合多个乡镇物流服务站点，打造物流共享服务站，融合多家社会快递资源，统一打造形象，统一设定标准和管理规范。</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物流信息统计分析系统。将每天的实时配送数据传至电子商务公共服务中心的大数据中心，通过数据分析制定合理的物流整合配送方案。</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both"/>
              <w:rPr>
                <w:rFonts w:hint="eastAsia" w:ascii="宋体" w:hAnsi="宋体" w:eastAsia="宋体" w:cs="宋体"/>
                <w:color w:val="000000"/>
                <w:sz w:val="18"/>
                <w:szCs w:val="18"/>
                <w:lang w:eastAsia="zh-CN"/>
              </w:rPr>
            </w:pPr>
            <w:r>
              <w:rPr>
                <w:rFonts w:hint="eastAsia" w:ascii="宋体" w:hAnsi="宋体" w:eastAsia="宋体" w:cs="宋体"/>
                <w:color w:val="000000"/>
                <w:spacing w:val="0"/>
                <w:position w:val="0"/>
                <w:sz w:val="18"/>
                <w:shd w:val="clear" w:color="auto" w:fill="auto"/>
              </w:rPr>
              <w:t>村点制度牌624套已经全部制作完成，</w:t>
            </w:r>
            <w:r>
              <w:rPr>
                <w:rFonts w:hint="eastAsia" w:ascii="宋体" w:hAnsi="宋体" w:eastAsia="宋体" w:cs="宋体"/>
                <w:color w:val="000000"/>
                <w:spacing w:val="0"/>
                <w:position w:val="0"/>
                <w:sz w:val="18"/>
                <w:shd w:val="clear" w:color="auto" w:fill="auto"/>
                <w:lang w:eastAsia="zh-CN"/>
              </w:rPr>
              <w:t>站点设备陆续发放中，</w:t>
            </w:r>
            <w:r>
              <w:rPr>
                <w:rFonts w:hint="eastAsia" w:ascii="宋体" w:hAnsi="宋体" w:eastAsia="宋体" w:cs="宋体"/>
                <w:color w:val="000000"/>
                <w:spacing w:val="0"/>
                <w:position w:val="0"/>
                <w:sz w:val="18"/>
                <w:shd w:val="clear" w:color="auto" w:fill="auto"/>
              </w:rPr>
              <w:t>电动厢式货车已经陆续发放到乡镇，共计发放1</w:t>
            </w:r>
            <w:r>
              <w:rPr>
                <w:rFonts w:hint="eastAsia" w:ascii="宋体" w:hAnsi="宋体" w:eastAsia="宋体" w:cs="宋体"/>
                <w:color w:val="000000"/>
                <w:spacing w:val="0"/>
                <w:position w:val="0"/>
                <w:sz w:val="18"/>
                <w:shd w:val="clear" w:color="auto" w:fill="auto"/>
                <w:lang w:val="en-US" w:eastAsia="zh-CN"/>
              </w:rPr>
              <w:t>8</w:t>
            </w:r>
            <w:r>
              <w:rPr>
                <w:rFonts w:hint="eastAsia" w:ascii="宋体" w:hAnsi="宋体" w:eastAsia="宋体" w:cs="宋体"/>
                <w:color w:val="000000"/>
                <w:spacing w:val="0"/>
                <w:position w:val="0"/>
                <w:sz w:val="18"/>
                <w:shd w:val="clear" w:color="auto" w:fill="auto"/>
              </w:rPr>
              <w:t>辆，其余乡镇正在考核发放中，购进4.2米厢式货车3辆并已经投入使用</w:t>
            </w:r>
            <w:r>
              <w:rPr>
                <w:rFonts w:hint="eastAsia" w:ascii="宋体" w:hAnsi="宋体" w:cs="宋体"/>
                <w:color w:val="000000"/>
                <w:spacing w:val="0"/>
                <w:position w:val="0"/>
                <w:sz w:val="18"/>
                <w:shd w:val="clear" w:color="auto" w:fill="auto"/>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4FE4"/>
    <w:rsid w:val="26AD5799"/>
    <w:rsid w:val="3BB7266C"/>
    <w:rsid w:val="5CE6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adjustRightInd w:val="0"/>
      <w:snapToGrid w:val="0"/>
      <w:spacing w:beforeLines="50" w:afterLines="50" w:line="360" w:lineRule="auto"/>
      <w:jc w:val="center"/>
      <w:outlineLvl w:val="1"/>
    </w:pPr>
    <w:rPr>
      <w:rFonts w:ascii="宋体" w:hAnsi="宋体"/>
      <w:b/>
      <w:bCs/>
      <w:kern w:val="0"/>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2021-12-01T01:41:00Z</dcterms:created>
  <dc:creator>Administrator</dc:creator>
  <cp:lastModifiedBy>Administrator</cp:lastModifiedBy>
  <dcterms:modified xsi:type="dcterms:W3CDTF">2021-12-23T01:46:50Z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B1F74894D3D74454A5EA5088540010AE</vt:lpwstr>
  </property>
</Properties>
</file>