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100"/>
        <w:jc w:val="center"/>
        <w:rPr>
          <w:shd w:val="clear" w:color="auto" w:fill="FFFFFF"/>
        </w:rPr>
      </w:pPr>
      <w:r>
        <w:rPr>
          <w:shd w:val="clear" w:color="auto" w:fill="FFFFFF"/>
        </w:rPr>
        <w:t>夏邑县电子商务进农村综合示范项目工作进度</w:t>
      </w:r>
    </w:p>
    <w:p>
      <w:pPr>
        <w:pStyle w:val="2"/>
        <w:spacing w:before="100" w:after="100"/>
        <w:jc w:val="center"/>
        <w:rPr>
          <w:rFonts w:hint="default"/>
          <w:shd w:val="clear" w:color="auto" w:fill="FFFFFF"/>
        </w:rPr>
      </w:pPr>
      <w:r>
        <w:rPr>
          <w:rFonts w:hint="eastAsia"/>
          <w:shd w:val="clear" w:color="auto" w:fill="FFFFFF"/>
          <w:lang w:val="en-US" w:eastAsia="zh-CN"/>
        </w:rPr>
        <w:t>2020</w:t>
      </w:r>
      <w:r>
        <w:rPr>
          <w:shd w:val="clear" w:color="auto" w:fill="FFFFFF"/>
        </w:rPr>
        <w:t>年</w:t>
      </w:r>
      <w:r>
        <w:rPr>
          <w:rFonts w:hint="eastAsia"/>
          <w:shd w:val="clear" w:color="auto" w:fill="FFFFFF"/>
          <w:lang w:val="en-US" w:eastAsia="zh-CN"/>
        </w:rPr>
        <w:t>2</w:t>
      </w:r>
      <w:r>
        <w:rPr>
          <w:shd w:val="clear" w:color="auto" w:fill="FFFFFF"/>
        </w:rPr>
        <w:t>月份</w:t>
      </w:r>
    </w:p>
    <w:tbl>
      <w:tblPr>
        <w:tblStyle w:val="6"/>
        <w:tblW w:w="11675" w:type="dxa"/>
        <w:jc w:val="center"/>
        <w:tblLayout w:type="fixed"/>
        <w:tblCellMar>
          <w:top w:w="15" w:type="dxa"/>
          <w:left w:w="15" w:type="dxa"/>
          <w:bottom w:w="15" w:type="dxa"/>
          <w:right w:w="15" w:type="dxa"/>
        </w:tblCellMar>
      </w:tblPr>
      <w:tblGrid>
        <w:gridCol w:w="402"/>
        <w:gridCol w:w="952"/>
        <w:gridCol w:w="850"/>
        <w:gridCol w:w="851"/>
        <w:gridCol w:w="992"/>
        <w:gridCol w:w="1094"/>
        <w:gridCol w:w="4253"/>
        <w:gridCol w:w="2281"/>
      </w:tblGrid>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序号</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项目名称</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扶持资金额度(万元)</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财政已拨付资金(万元)</w:t>
            </w: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中标（承办）企业</w:t>
            </w:r>
          </w:p>
        </w:tc>
        <w:tc>
          <w:tcPr>
            <w:tcW w:w="1094"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完成时限</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建设内容和要求</w:t>
            </w:r>
          </w:p>
        </w:tc>
        <w:tc>
          <w:tcPr>
            <w:tcW w:w="228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建设项目进度</w:t>
            </w:r>
          </w:p>
        </w:tc>
      </w:tr>
      <w:tr>
        <w:tblPrEx>
          <w:tblCellMar>
            <w:top w:w="15" w:type="dxa"/>
            <w:left w:w="15" w:type="dxa"/>
            <w:bottom w:w="15" w:type="dxa"/>
            <w:right w:w="15" w:type="dxa"/>
          </w:tblCellMar>
        </w:tblPrEx>
        <w:trPr>
          <w:jc w:val="center"/>
        </w:trPr>
        <w:tc>
          <w:tcPr>
            <w:tcW w:w="402" w:type="dxa"/>
            <w:vMerge w:val="restart"/>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电子商务公共服务中心建设</w:t>
            </w:r>
          </w:p>
        </w:tc>
        <w:tc>
          <w:tcPr>
            <w:tcW w:w="850"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r>
              <w:rPr>
                <w:rFonts w:hint="eastAsia" w:ascii="宋体" w:hAnsi="宋体" w:eastAsia="宋体" w:cs="宋体"/>
                <w:color w:val="000000"/>
                <w:sz w:val="18"/>
                <w:szCs w:val="18"/>
              </w:rPr>
              <w:t>450</w:t>
            </w:r>
          </w:p>
        </w:tc>
        <w:tc>
          <w:tcPr>
            <w:tcW w:w="851"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厦门导航者软件科技有限公司   </w:t>
            </w:r>
          </w:p>
          <w:p>
            <w:pPr>
              <w:pStyle w:val="5"/>
              <w:jc w:val="center"/>
              <w:rPr>
                <w:rFonts w:hint="eastAsia" w:ascii="宋体" w:hAnsi="宋体" w:eastAsia="宋体" w:cs="宋体"/>
                <w:color w:val="000000"/>
                <w:sz w:val="18"/>
                <w:szCs w:val="18"/>
              </w:rPr>
            </w:pPr>
          </w:p>
        </w:tc>
        <w:tc>
          <w:tcPr>
            <w:tcW w:w="1094"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2020年</w:t>
            </w:r>
            <w:r>
              <w:rPr>
                <w:rFonts w:hint="eastAsia" w:ascii="宋体" w:hAnsi="宋体" w:eastAsia="宋体" w:cs="宋体"/>
                <w:color w:val="000000"/>
                <w:sz w:val="18"/>
                <w:szCs w:val="18"/>
              </w:rPr>
              <w:t>底</w:t>
            </w:r>
            <w:r>
              <w:rPr>
                <w:rFonts w:hint="eastAsia" w:ascii="宋体" w:hAnsi="宋体" w:eastAsia="宋体" w:cs="宋体"/>
                <w:color w:val="000000"/>
                <w:sz w:val="18"/>
                <w:szCs w:val="18"/>
                <w:lang w:eastAsia="zh-CN"/>
              </w:rPr>
              <w:t>完善所有配置，并投入运营</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rPr>
                <w:rFonts w:hint="eastAsia" w:ascii="宋体" w:hAnsi="宋体" w:eastAsia="宋体" w:cs="宋体"/>
                <w:sz w:val="18"/>
                <w:szCs w:val="18"/>
              </w:rPr>
            </w:pPr>
            <w:r>
              <w:rPr>
                <w:rFonts w:hint="eastAsia" w:ascii="宋体" w:hAnsi="宋体" w:eastAsia="宋体" w:cs="宋体"/>
                <w:sz w:val="18"/>
                <w:szCs w:val="18"/>
              </w:rPr>
              <w:t>建设1个县域电子商务公共服务中心，设立接待中心、特色农产品展示中心、电商培训室、多媒体大会议室、电商沙龙区、农产品检测中心、大数据动态展示中心、电子商务公共服务平台，提供运营推广、数据统计、电商咨询、线上服务、电商支撑服务等系统性全面电商公共服务。</w:t>
            </w:r>
          </w:p>
        </w:tc>
        <w:tc>
          <w:tcPr>
            <w:tcW w:w="2281" w:type="dxa"/>
            <w:tcBorders>
              <w:top w:val="single" w:color="000000" w:sz="8" w:space="0"/>
              <w:left w:val="nil"/>
              <w:bottom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因疫情原因，工作暂停</w:t>
            </w: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农村产品电子商务供应链和营销体系建设</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2020</w:t>
            </w:r>
            <w:r>
              <w:rPr>
                <w:rFonts w:hint="eastAsia" w:ascii="宋体" w:hAnsi="宋体" w:eastAsia="宋体" w:cs="宋体"/>
                <w:color w:val="000000"/>
                <w:sz w:val="18"/>
                <w:szCs w:val="18"/>
              </w:rPr>
              <w:t>底完成区域品牌注册，并持续推进</w:t>
            </w:r>
          </w:p>
        </w:tc>
        <w:tc>
          <w:tcPr>
            <w:tcW w:w="4253"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hint="eastAsia" w:ascii="宋体" w:hAnsi="宋体" w:eastAsia="宋体" w:cs="宋体"/>
                <w:sz w:val="18"/>
                <w:szCs w:val="18"/>
              </w:rPr>
            </w:pPr>
            <w:r>
              <w:rPr>
                <w:rFonts w:hint="eastAsia" w:ascii="宋体" w:hAnsi="宋体" w:eastAsia="宋体" w:cs="宋体"/>
                <w:color w:val="000000"/>
                <w:kern w:val="0"/>
                <w:sz w:val="18"/>
                <w:szCs w:val="18"/>
              </w:rPr>
              <w:t>围绕“农产品上行”为核心，打造夏邑县农产品区域公用品牌，重点扶持5 家以上示范标杆企业，建立夏邑县农特产品标准化数据库，对特色产品进行分级、开发、优化，将农产品转化为农产商品，建设形成夏邑县特色产品资源库。配置对应的可视化设备、网络传输、溯源等设施设备，建立夏邑县农产品质量保障与追溯平台，进一步提升夏邑县农产品的商品化、标准化、品牌化。建设线上线下特色产品展示馆。为夏邑县农产品提供第三方检测服务和第三方认证服务；建立夏邑县农产品质量追溯系统。</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rPr>
                <w:rFonts w:hint="eastAsia" w:ascii="宋体" w:hAnsi="宋体" w:eastAsia="宋体" w:cs="宋体"/>
                <w:color w:val="000000"/>
                <w:kern w:val="0"/>
                <w:sz w:val="18"/>
                <w:szCs w:val="18"/>
              </w:rPr>
            </w:pPr>
            <w:r>
              <w:rPr>
                <w:rFonts w:hint="eastAsia" w:ascii="宋体" w:hAnsi="宋体" w:eastAsia="宋体" w:cs="宋体"/>
                <w:color w:val="000000"/>
                <w:sz w:val="18"/>
                <w:szCs w:val="18"/>
                <w:lang w:val="en-US" w:eastAsia="zh-CN"/>
              </w:rPr>
              <w:t>因疫情原因，工作暂停</w:t>
            </w: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电子商务进农村宣传与应用推广</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配合工作推进情况开展</w:t>
            </w:r>
          </w:p>
        </w:tc>
        <w:tc>
          <w:tcPr>
            <w:tcW w:w="4253"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定期组织企业沙龙交流活动，通过多种方式宣传农村电商，营造发展农村电商的浓厚氛围，加快农民触网、入网步伐；充分利用传统媒体传播，线下电商展会传播与线上网络媒体广泛宣传电子商务进农村政策，做好线上品牌主题策划、媒体报道、品牌塑造、形象打造；挖掘优秀本土网商成功亮点案例，区域公共品牌对外宣传；年度优秀网商企业、优秀个人、先进企业单位活动策划评选。</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bidi w:val="0"/>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因疫情原因，工作暂停</w:t>
            </w:r>
          </w:p>
        </w:tc>
      </w:tr>
      <w:tr>
        <w:tblPrEx>
          <w:tblCellMar>
            <w:top w:w="15" w:type="dxa"/>
            <w:left w:w="15" w:type="dxa"/>
            <w:bottom w:w="15" w:type="dxa"/>
            <w:right w:w="15" w:type="dxa"/>
          </w:tblCellMar>
        </w:tblPrEx>
        <w:trPr>
          <w:trHeight w:val="90"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spacing w:line="360" w:lineRule="auto"/>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镇村级电子商务服务站点建设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600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河南洲山科技有限公司</w:t>
            </w:r>
          </w:p>
        </w:tc>
        <w:tc>
          <w:tcPr>
            <w:tcW w:w="1094"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2019年底完成400个站点建设和运营，包含143个贫困村点建设</w:t>
            </w:r>
          </w:p>
        </w:tc>
        <w:tc>
          <w:tcPr>
            <w:tcW w:w="4253"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hint="eastAsia" w:ascii="宋体" w:hAnsi="宋体" w:eastAsia="宋体" w:cs="宋体"/>
                <w:color w:val="000000"/>
                <w:sz w:val="18"/>
                <w:szCs w:val="18"/>
              </w:rPr>
            </w:pPr>
            <w:r>
              <w:rPr>
                <w:rFonts w:hint="eastAsia" w:ascii="宋体" w:hAnsi="宋体" w:eastAsia="宋体" w:cs="宋体"/>
                <w:color w:val="000000"/>
                <w:sz w:val="18"/>
                <w:szCs w:val="18"/>
              </w:rPr>
              <w:t>支持政府或者承办企业为开展电子商务服务对乡村电子商务服务站点进行改造装修，配置站点办公相关设备和对站点工作人员的相关培训等。村级站点为村民提供更多便民服务，镇级站点应具备电子商务普及推广、小微电商（网商）孵化、整合当地农特产品，农特产品线下体验、网络代购代销、承接物流快递等功能。</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因疫情原因，工作暂停</w:t>
            </w:r>
          </w:p>
        </w:tc>
      </w:tr>
      <w:tr>
        <w:tblPrEx>
          <w:tblCellMar>
            <w:top w:w="15" w:type="dxa"/>
            <w:left w:w="15" w:type="dxa"/>
            <w:bottom w:w="15" w:type="dxa"/>
            <w:right w:w="15" w:type="dxa"/>
          </w:tblCellMar>
        </w:tblPrEx>
        <w:trPr>
          <w:trHeight w:val="7617"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3</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电子商务人才培养体系建设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300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河南省博览事务局有限公司</w:t>
            </w:r>
          </w:p>
        </w:tc>
        <w:tc>
          <w:tcPr>
            <w:tcW w:w="1094"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2020年底完成培训10000人次以上</w:t>
            </w:r>
          </w:p>
        </w:tc>
        <w:tc>
          <w:tcPr>
            <w:tcW w:w="4253"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widowControl/>
              <w:spacing w:line="26" w:lineRule="atLeast"/>
              <w:jc w:val="left"/>
              <w:rPr>
                <w:rFonts w:hint="eastAsia" w:ascii="宋体" w:hAnsi="宋体" w:eastAsia="宋体" w:cs="宋体"/>
                <w:color w:val="000000"/>
                <w:sz w:val="18"/>
                <w:szCs w:val="18"/>
              </w:rPr>
            </w:pPr>
            <w:r>
              <w:rPr>
                <w:rFonts w:hint="eastAsia" w:ascii="宋体" w:hAnsi="宋体" w:eastAsia="宋体" w:cs="宋体"/>
                <w:kern w:val="0"/>
                <w:sz w:val="18"/>
                <w:szCs w:val="18"/>
                <w:lang w:bidi="ar"/>
              </w:rPr>
              <w:t>通过对政府人员、专业合作社、种养殖大户、返乡青年、有志愿往电商方面发展的人员、残疾人员、贫困人口等不同人群,分类进行电商基础知识、网上开店技巧、网购操作等培训，提高各类人群对电子商务的认识,增强电商氛围,普及电商应用,增加电商从业人员,促进电商扶贫。3年内内全县累计培训10000人次,其中对70%有能力有意愿的贫困户进行免费培训，对70%乡镇村干部和第一书记轮训,在70%有条件的贫困户每村培育一名电商带头人。</w:t>
            </w:r>
          </w:p>
        </w:tc>
        <w:tc>
          <w:tcPr>
            <w:tcW w:w="2281" w:type="dxa"/>
            <w:tcBorders>
              <w:top w:val="single" w:color="auto" w:sz="4" w:space="0"/>
              <w:left w:val="nil"/>
              <w:right w:val="single" w:color="000000" w:sz="8" w:space="0"/>
            </w:tcBorders>
            <w:shd w:val="clear" w:color="auto" w:fill="FFFFFF"/>
            <w:tcMar>
              <w:top w:w="0" w:type="dxa"/>
              <w:left w:w="105" w:type="dxa"/>
              <w:bottom w:w="0" w:type="dxa"/>
              <w:right w:w="105" w:type="dxa"/>
            </w:tcMar>
            <w:vAlign w:val="center"/>
          </w:tcPr>
          <w:p>
            <w:pPr>
              <w:bidi w:val="0"/>
              <w:rPr>
                <w:rFonts w:hint="eastAsia" w:ascii="宋体" w:hAnsi="宋体" w:eastAsia="宋体" w:cs="宋体"/>
                <w:color w:val="000000"/>
                <w:szCs w:val="18"/>
              </w:rPr>
            </w:pPr>
            <w:r>
              <w:rPr>
                <w:rFonts w:hint="eastAsia" w:ascii="宋体" w:hAnsi="宋体" w:eastAsia="宋体" w:cs="宋体"/>
                <w:color w:val="000000"/>
                <w:sz w:val="18"/>
                <w:szCs w:val="18"/>
                <w:lang w:val="en-US" w:eastAsia="zh-CN"/>
              </w:rPr>
              <w:t>因疫情原因，工作暂停</w:t>
            </w:r>
          </w:p>
        </w:tc>
      </w:tr>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电子商务物流配送体系建设</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550</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夏邑众合物流有限公司</w:t>
            </w:r>
          </w:p>
        </w:tc>
        <w:tc>
          <w:tcPr>
            <w:tcW w:w="1094"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2019年6月底县级仓储中心具备分拣功能，为电商提供基本的仓储服务，软件达成初步签约，8月正式投入使用。同时，整合多个乡镇物流服务站统一打造形象，统一标准和规范制度。</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县级仓储配送中心面积不低于2000平方米，具备分拣设备、配送车辆等。</w:t>
            </w:r>
          </w:p>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乡级和村级物流服务站点。整合多个乡镇物流服务站点，打造物流共享服务站，融合多家社会快递资源，统一打造形象，统一设定标准和管理规范。</w:t>
            </w:r>
          </w:p>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物流信息统计分析系统。将每天的实时配送数据传至电子商务公共服务中心的大数据中心，通过数据分析制定合理的物流整合配送方案。</w:t>
            </w:r>
          </w:p>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为县内电商企业提供云仓服务。</w:t>
            </w:r>
          </w:p>
        </w:tc>
        <w:tc>
          <w:tcPr>
            <w:tcW w:w="2281"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因疫情原因</w:t>
            </w:r>
            <w:bookmarkStart w:id="0" w:name="_GoBack"/>
            <w:bookmarkEnd w:id="0"/>
            <w:r>
              <w:rPr>
                <w:rFonts w:hint="eastAsia" w:ascii="宋体" w:hAnsi="宋体" w:eastAsia="宋体" w:cs="宋体"/>
                <w:color w:val="000000"/>
                <w:sz w:val="18"/>
                <w:szCs w:val="18"/>
                <w:lang w:val="en-US" w:eastAsia="zh-CN"/>
              </w:rPr>
              <w:t>，工作暂停</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6E7CA"/>
    <w:multiLevelType w:val="singleLevel"/>
    <w:tmpl w:val="B8A6E7C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AF"/>
    <w:rsid w:val="002239F1"/>
    <w:rsid w:val="002C109A"/>
    <w:rsid w:val="003113BD"/>
    <w:rsid w:val="00323D30"/>
    <w:rsid w:val="005347FB"/>
    <w:rsid w:val="00632868"/>
    <w:rsid w:val="006F7510"/>
    <w:rsid w:val="00730672"/>
    <w:rsid w:val="00994DD4"/>
    <w:rsid w:val="00C85889"/>
    <w:rsid w:val="00D049BE"/>
    <w:rsid w:val="00D3077F"/>
    <w:rsid w:val="00D6226B"/>
    <w:rsid w:val="00D76452"/>
    <w:rsid w:val="00DD7112"/>
    <w:rsid w:val="00FD33AF"/>
    <w:rsid w:val="042E7229"/>
    <w:rsid w:val="09D542FB"/>
    <w:rsid w:val="0E191DC5"/>
    <w:rsid w:val="0F1B20DA"/>
    <w:rsid w:val="15E07631"/>
    <w:rsid w:val="160B15A6"/>
    <w:rsid w:val="18775DE1"/>
    <w:rsid w:val="1AA442EE"/>
    <w:rsid w:val="20CB52AE"/>
    <w:rsid w:val="231A490A"/>
    <w:rsid w:val="25A060BD"/>
    <w:rsid w:val="2AAE33BA"/>
    <w:rsid w:val="324574EF"/>
    <w:rsid w:val="38086DE9"/>
    <w:rsid w:val="42EF6F3B"/>
    <w:rsid w:val="44A7354B"/>
    <w:rsid w:val="4F4F478B"/>
    <w:rsid w:val="57152E00"/>
    <w:rsid w:val="58FF45F5"/>
    <w:rsid w:val="5E5D71FE"/>
    <w:rsid w:val="6E93346A"/>
    <w:rsid w:val="72DC5CD8"/>
    <w:rsid w:val="761845BD"/>
    <w:rsid w:val="77835A0A"/>
    <w:rsid w:val="7F85198C"/>
    <w:rsid w:val="7F8E1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0"/>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2 字符"/>
    <w:basedOn w:val="7"/>
    <w:link w:val="2"/>
    <w:qFormat/>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298</Words>
  <Characters>1701</Characters>
  <Lines>14</Lines>
  <Paragraphs>3</Paragraphs>
  <TotalTime>0</TotalTime>
  <ScaleCrop>false</ScaleCrop>
  <LinksUpToDate>false</LinksUpToDate>
  <CharactersWithSpaces>1996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2019-08-11T02:36:00Z</dcterms:created>
  <dc:creator>ZLT</dc:creator>
  <cp:lastModifiedBy>Fairy</cp:lastModifiedBy>
  <dcterms:modified xsi:type="dcterms:W3CDTF">2020-06-09T02:13:46Z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