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28"/>
          <w:szCs w:val="28"/>
        </w:rPr>
      </w:pPr>
      <w:bookmarkStart w:id="0" w:name="_GoBack"/>
      <w:r>
        <w:rPr>
          <w:rFonts w:hint="eastAsia" w:ascii="方正小标宋简体" w:hAnsi="方正小标宋简体" w:eastAsia="方正小标宋简体" w:cs="方正小标宋简体"/>
          <w:sz w:val="28"/>
          <w:szCs w:val="28"/>
        </w:rPr>
        <w:t>夏邑县电子商务进农村</w:t>
      </w:r>
      <w:r>
        <w:rPr>
          <w:rFonts w:hint="eastAsia" w:ascii="方正小标宋简体" w:hAnsi="方正小标宋简体" w:eastAsia="方正小标宋简体" w:cs="方正小标宋简体"/>
          <w:sz w:val="28"/>
          <w:szCs w:val="28"/>
          <w:lang w:eastAsia="zh-CN"/>
        </w:rPr>
        <w:t>综合</w:t>
      </w:r>
      <w:r>
        <w:rPr>
          <w:rFonts w:hint="eastAsia" w:ascii="方正小标宋简体" w:hAnsi="方正小标宋简体" w:eastAsia="方正小标宋简体" w:cs="方正小标宋简体"/>
          <w:sz w:val="28"/>
          <w:szCs w:val="28"/>
        </w:rPr>
        <w:t>示范项目工作进度（201</w:t>
      </w:r>
      <w:r>
        <w:rPr>
          <w:rFonts w:ascii="方正小标宋简体" w:hAnsi="方正小标宋简体" w:eastAsia="方正小标宋简体" w:cs="方正小标宋简体"/>
          <w:sz w:val="28"/>
          <w:szCs w:val="28"/>
        </w:rPr>
        <w:t>9</w:t>
      </w:r>
      <w:r>
        <w:rPr>
          <w:rFonts w:hint="eastAsia" w:ascii="方正小标宋简体" w:hAnsi="方正小标宋简体" w:eastAsia="方正小标宋简体" w:cs="方正小标宋简体"/>
          <w:sz w:val="28"/>
          <w:szCs w:val="28"/>
        </w:rPr>
        <w:t>年</w:t>
      </w:r>
      <w:r>
        <w:rPr>
          <w:rFonts w:ascii="方正小标宋简体" w:hAnsi="方正小标宋简体" w:eastAsia="方正小标宋简体" w:cs="方正小标宋简体"/>
          <w:sz w:val="28"/>
          <w:szCs w:val="28"/>
        </w:rPr>
        <w:t>3</w:t>
      </w:r>
      <w:r>
        <w:rPr>
          <w:rFonts w:hint="eastAsia" w:ascii="方正小标宋简体" w:hAnsi="方正小标宋简体" w:eastAsia="方正小标宋简体" w:cs="方正小标宋简体"/>
          <w:sz w:val="28"/>
          <w:szCs w:val="28"/>
        </w:rPr>
        <w:t>月）</w:t>
      </w:r>
    </w:p>
    <w:bookmarkEnd w:id="0"/>
    <w:tbl>
      <w:tblPr>
        <w:tblStyle w:val="6"/>
        <w:tblW w:w="11740" w:type="dxa"/>
        <w:jc w:val="center"/>
        <w:tblInd w:w="0" w:type="dxa"/>
        <w:tblLayout w:type="fixed"/>
        <w:tblCellMar>
          <w:top w:w="15" w:type="dxa"/>
          <w:left w:w="15" w:type="dxa"/>
          <w:bottom w:w="15" w:type="dxa"/>
          <w:right w:w="15" w:type="dxa"/>
        </w:tblCellMar>
      </w:tblPr>
      <w:tblGrid>
        <w:gridCol w:w="402"/>
        <w:gridCol w:w="952"/>
        <w:gridCol w:w="850"/>
        <w:gridCol w:w="851"/>
        <w:gridCol w:w="992"/>
        <w:gridCol w:w="850"/>
        <w:gridCol w:w="4820"/>
        <w:gridCol w:w="2023"/>
      </w:tblGrid>
      <w:tr>
        <w:tblPrEx>
          <w:tblLayout w:type="fixed"/>
          <w:tblCellMar>
            <w:top w:w="15" w:type="dxa"/>
            <w:left w:w="15" w:type="dxa"/>
            <w:bottom w:w="15" w:type="dxa"/>
            <w:right w:w="15" w:type="dxa"/>
          </w:tblCellMar>
        </w:tblPrEx>
        <w:trPr>
          <w:jc w:val="center"/>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rPr>
            </w:pPr>
            <w:r>
              <w:rPr>
                <w:rFonts w:hint="eastAsia" w:ascii="宋体" w:hAnsi="宋体" w:cs="宋体"/>
                <w:color w:val="000000"/>
                <w:sz w:val="18"/>
                <w:szCs w:val="18"/>
              </w:rPr>
              <w:t>序号</w:t>
            </w:r>
          </w:p>
        </w:tc>
        <w:tc>
          <w:tcPr>
            <w:tcW w:w="95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rPr>
            </w:pPr>
            <w:r>
              <w:rPr>
                <w:rFonts w:hint="eastAsia" w:ascii="宋体" w:hAnsi="宋体" w:cs="宋体"/>
                <w:color w:val="000000"/>
                <w:sz w:val="18"/>
                <w:szCs w:val="18"/>
              </w:rPr>
              <w:t>项目名称</w:t>
            </w:r>
          </w:p>
        </w:tc>
        <w:tc>
          <w:tcPr>
            <w:tcW w:w="850"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rPr>
            </w:pPr>
            <w:r>
              <w:rPr>
                <w:rFonts w:hint="eastAsia" w:ascii="宋体" w:hAnsi="宋体" w:cs="宋体"/>
                <w:color w:val="000000"/>
                <w:sz w:val="18"/>
                <w:szCs w:val="18"/>
              </w:rPr>
              <w:t>扶持资金额度</w:t>
            </w:r>
            <w:r>
              <w:rPr>
                <w:rFonts w:hint="eastAsia" w:ascii="宋体" w:hAnsi="宋体" w:cs="宋体"/>
                <w:color w:val="000000"/>
                <w:sz w:val="15"/>
                <w:szCs w:val="15"/>
              </w:rPr>
              <w:t>(万元)</w:t>
            </w:r>
          </w:p>
        </w:tc>
        <w:tc>
          <w:tcPr>
            <w:tcW w:w="851"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rPr>
            </w:pPr>
            <w:r>
              <w:rPr>
                <w:rFonts w:hint="eastAsia" w:ascii="宋体" w:hAnsi="宋体" w:cs="宋体"/>
                <w:color w:val="000000"/>
                <w:sz w:val="18"/>
                <w:szCs w:val="18"/>
              </w:rPr>
              <w:t>财政已拨付资金</w:t>
            </w:r>
            <w:r>
              <w:rPr>
                <w:rFonts w:hint="eastAsia" w:ascii="宋体" w:hAnsi="宋体" w:cs="宋体"/>
                <w:color w:val="000000"/>
                <w:sz w:val="15"/>
                <w:szCs w:val="15"/>
              </w:rPr>
              <w:t>(万元)</w:t>
            </w:r>
          </w:p>
        </w:tc>
        <w:tc>
          <w:tcPr>
            <w:tcW w:w="99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rPr>
            </w:pPr>
            <w:r>
              <w:rPr>
                <w:rFonts w:hint="eastAsia" w:ascii="宋体" w:hAnsi="宋体" w:cs="宋体"/>
                <w:color w:val="000000"/>
                <w:sz w:val="18"/>
                <w:szCs w:val="18"/>
              </w:rPr>
              <w:t>中标（承办）企业</w:t>
            </w:r>
          </w:p>
        </w:tc>
        <w:tc>
          <w:tcPr>
            <w:tcW w:w="850"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rPr>
            </w:pPr>
            <w:r>
              <w:rPr>
                <w:rFonts w:hint="eastAsia" w:ascii="宋体" w:hAnsi="宋体" w:cs="宋体"/>
                <w:color w:val="000000"/>
                <w:sz w:val="18"/>
                <w:szCs w:val="18"/>
              </w:rPr>
              <w:t>完成时限</w:t>
            </w:r>
          </w:p>
        </w:tc>
        <w:tc>
          <w:tcPr>
            <w:tcW w:w="4820"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rPr>
            </w:pPr>
            <w:r>
              <w:rPr>
                <w:rFonts w:hint="eastAsia" w:ascii="宋体" w:hAnsi="宋体" w:cs="宋体"/>
                <w:color w:val="000000"/>
                <w:sz w:val="18"/>
                <w:szCs w:val="18"/>
              </w:rPr>
              <w:t>建设内容和要求</w:t>
            </w:r>
          </w:p>
        </w:tc>
        <w:tc>
          <w:tcPr>
            <w:tcW w:w="2023"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rPr>
            </w:pPr>
            <w:r>
              <w:rPr>
                <w:rFonts w:hint="eastAsia" w:ascii="宋体" w:hAnsi="宋体" w:cs="宋体"/>
                <w:color w:val="000000"/>
                <w:sz w:val="18"/>
                <w:szCs w:val="18"/>
              </w:rPr>
              <w:t>建设项目进度</w:t>
            </w:r>
          </w:p>
        </w:tc>
      </w:tr>
      <w:tr>
        <w:tblPrEx>
          <w:tblLayout w:type="fixed"/>
          <w:tblCellMar>
            <w:top w:w="15" w:type="dxa"/>
            <w:left w:w="15" w:type="dxa"/>
            <w:bottom w:w="15" w:type="dxa"/>
            <w:right w:w="15" w:type="dxa"/>
          </w:tblCellMar>
        </w:tblPrEx>
        <w:trPr>
          <w:jc w:val="center"/>
        </w:trPr>
        <w:tc>
          <w:tcPr>
            <w:tcW w:w="402" w:type="dxa"/>
            <w:vMerge w:val="restart"/>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1</w:t>
            </w:r>
          </w:p>
        </w:tc>
        <w:tc>
          <w:tcPr>
            <w:tcW w:w="95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sz w:val="18"/>
                <w:szCs w:val="18"/>
              </w:rPr>
              <w:t>电子商务公共服务中心建设</w:t>
            </w:r>
          </w:p>
        </w:tc>
        <w:tc>
          <w:tcPr>
            <w:tcW w:w="850" w:type="dxa"/>
            <w:vMerge w:val="restart"/>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jc w:val="center"/>
              <w:rPr>
                <w:rFonts w:ascii="宋体" w:hAnsi="宋体" w:cs="宋体"/>
                <w:color w:val="000000"/>
                <w:sz w:val="18"/>
                <w:szCs w:val="18"/>
              </w:rPr>
            </w:pPr>
            <w:r>
              <w:rPr>
                <w:rFonts w:hint="eastAsia" w:ascii="宋体" w:hAnsi="宋体" w:cs="宋体"/>
                <w:color w:val="000000"/>
                <w:sz w:val="18"/>
                <w:szCs w:val="18"/>
              </w:rPr>
              <w:t>4</w:t>
            </w:r>
            <w:r>
              <w:rPr>
                <w:rFonts w:ascii="宋体" w:hAnsi="宋体" w:cs="宋体"/>
                <w:color w:val="000000"/>
                <w:sz w:val="18"/>
                <w:szCs w:val="18"/>
              </w:rPr>
              <w:t>50</w:t>
            </w:r>
          </w:p>
        </w:tc>
        <w:tc>
          <w:tcPr>
            <w:tcW w:w="851" w:type="dxa"/>
            <w:vMerge w:val="restart"/>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p>
        </w:tc>
        <w:tc>
          <w:tcPr>
            <w:tcW w:w="992" w:type="dxa"/>
            <w:vMerge w:val="restart"/>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 xml:space="preserve">厦门导航者软件科技有限公司   </w:t>
            </w:r>
          </w:p>
          <w:p>
            <w:pPr>
              <w:pStyle w:val="5"/>
              <w:jc w:val="center"/>
              <w:rPr>
                <w:rFonts w:ascii="宋体" w:hAnsi="宋体" w:cs="宋体"/>
                <w:color w:val="000000"/>
                <w:sz w:val="18"/>
                <w:szCs w:val="18"/>
              </w:rPr>
            </w:pPr>
          </w:p>
        </w:tc>
        <w:tc>
          <w:tcPr>
            <w:tcW w:w="850"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2</w:t>
            </w:r>
            <w:r>
              <w:rPr>
                <w:rFonts w:ascii="宋体" w:hAnsi="宋体" w:cs="宋体"/>
                <w:color w:val="000000"/>
                <w:sz w:val="18"/>
                <w:szCs w:val="18"/>
              </w:rPr>
              <w:t>019</w:t>
            </w:r>
            <w:r>
              <w:rPr>
                <w:rFonts w:hint="eastAsia" w:ascii="宋体" w:hAnsi="宋体" w:cs="宋体"/>
                <w:color w:val="000000"/>
                <w:sz w:val="18"/>
                <w:szCs w:val="18"/>
              </w:rPr>
              <w:t>年</w:t>
            </w:r>
            <w:r>
              <w:rPr>
                <w:rFonts w:ascii="宋体" w:hAnsi="宋体" w:cs="宋体"/>
                <w:color w:val="000000"/>
                <w:sz w:val="18"/>
                <w:szCs w:val="18"/>
              </w:rPr>
              <w:t>6</w:t>
            </w:r>
            <w:r>
              <w:rPr>
                <w:rFonts w:hint="eastAsia" w:ascii="宋体" w:hAnsi="宋体" w:cs="宋体"/>
                <w:color w:val="000000"/>
                <w:sz w:val="18"/>
                <w:szCs w:val="18"/>
              </w:rPr>
              <w:t>月底具备基本功能并持续完善</w:t>
            </w:r>
          </w:p>
        </w:tc>
        <w:tc>
          <w:tcPr>
            <w:tcW w:w="4820"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rPr>
                <w:sz w:val="18"/>
                <w:szCs w:val="18"/>
              </w:rPr>
            </w:pPr>
            <w:r>
              <w:rPr>
                <w:rFonts w:hint="eastAsia"/>
                <w:sz w:val="18"/>
                <w:szCs w:val="18"/>
              </w:rPr>
              <w:t>建设1个县域电子商务公共服务中心，设</w:t>
            </w:r>
            <w:r>
              <w:rPr>
                <w:sz w:val="18"/>
                <w:szCs w:val="18"/>
              </w:rPr>
              <w:t>立</w:t>
            </w:r>
            <w:r>
              <w:rPr>
                <w:rFonts w:hint="eastAsia"/>
                <w:sz w:val="18"/>
                <w:szCs w:val="18"/>
              </w:rPr>
              <w:t>接待</w:t>
            </w:r>
            <w:r>
              <w:rPr>
                <w:sz w:val="18"/>
                <w:szCs w:val="18"/>
              </w:rPr>
              <w:t>中心、特色农产品展示中心、电商培训</w:t>
            </w:r>
            <w:r>
              <w:rPr>
                <w:rFonts w:hint="eastAsia"/>
                <w:sz w:val="18"/>
                <w:szCs w:val="18"/>
              </w:rPr>
              <w:t>室</w:t>
            </w:r>
            <w:r>
              <w:rPr>
                <w:sz w:val="18"/>
                <w:szCs w:val="18"/>
              </w:rPr>
              <w:t>、</w:t>
            </w:r>
            <w:r>
              <w:rPr>
                <w:rFonts w:hint="eastAsia"/>
                <w:sz w:val="18"/>
                <w:szCs w:val="18"/>
              </w:rPr>
              <w:t>多媒体大会议室、电商沙龙区、农产品检测中心、大数据动态展示中心、</w:t>
            </w:r>
            <w:r>
              <w:rPr>
                <w:sz w:val="18"/>
                <w:szCs w:val="18"/>
              </w:rPr>
              <w:t>电子商务公共服务平台</w:t>
            </w:r>
            <w:r>
              <w:rPr>
                <w:rFonts w:hint="eastAsia"/>
                <w:sz w:val="18"/>
                <w:szCs w:val="18"/>
              </w:rPr>
              <w:t>，</w:t>
            </w:r>
            <w:r>
              <w:rPr>
                <w:sz w:val="18"/>
                <w:szCs w:val="18"/>
              </w:rPr>
              <w:t>提供运营推广、数据统计、电商咨询、</w:t>
            </w:r>
            <w:r>
              <w:rPr>
                <w:rFonts w:hint="eastAsia"/>
                <w:sz w:val="18"/>
                <w:szCs w:val="18"/>
              </w:rPr>
              <w:t>线上服务</w:t>
            </w:r>
            <w:r>
              <w:rPr>
                <w:sz w:val="18"/>
                <w:szCs w:val="18"/>
              </w:rPr>
              <w:t>、电商支撑服务等系统性全面电商公共服务。</w:t>
            </w:r>
          </w:p>
        </w:tc>
        <w:tc>
          <w:tcPr>
            <w:tcW w:w="2023" w:type="dxa"/>
            <w:tcBorders>
              <w:top w:val="single" w:color="000000" w:sz="8" w:space="0"/>
              <w:left w:val="nil"/>
              <w:bottom w:val="single" w:color="auto" w:sz="4"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完成公共服务中心电脑实操培训室桌椅及主席台网络，电路等采购和布署；线上电子商务公共服务平台软件开发，目前正在测试阶段，已推送测试平台链接网址给夏邑电子商务中心林主任；下一步工作需要确定该平台实际域名购买和服务器租赁问题。</w:t>
            </w:r>
          </w:p>
        </w:tc>
      </w:tr>
      <w:tr>
        <w:tblPrEx>
          <w:tblLayout w:type="fixed"/>
          <w:tblCellMar>
            <w:top w:w="15" w:type="dxa"/>
            <w:left w:w="15" w:type="dxa"/>
            <w:bottom w:w="15" w:type="dxa"/>
            <w:right w:w="15" w:type="dxa"/>
          </w:tblCellMar>
        </w:tblPrEx>
        <w:trPr>
          <w:trHeight w:val="1194" w:hRule="atLeast"/>
          <w:jc w:val="center"/>
        </w:trPr>
        <w:tc>
          <w:tcPr>
            <w:tcW w:w="402"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p>
        </w:tc>
        <w:tc>
          <w:tcPr>
            <w:tcW w:w="952" w:type="dxa"/>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sz w:val="18"/>
                <w:szCs w:val="18"/>
              </w:rPr>
              <w:t>农村产品电子商务供应链和营销体系建设</w:t>
            </w:r>
          </w:p>
        </w:tc>
        <w:tc>
          <w:tcPr>
            <w:tcW w:w="850" w:type="dxa"/>
            <w:vMerge w:val="continue"/>
            <w:tcBorders>
              <w:left w:val="nil"/>
              <w:right w:val="single" w:color="000000" w:sz="8" w:space="0"/>
            </w:tcBorders>
            <w:shd w:val="clear" w:color="auto" w:fill="FFFFFF"/>
            <w:tcMar>
              <w:top w:w="0" w:type="dxa"/>
              <w:left w:w="105" w:type="dxa"/>
              <w:bottom w:w="0" w:type="dxa"/>
              <w:right w:w="105" w:type="dxa"/>
            </w:tcMar>
            <w:vAlign w:val="center"/>
          </w:tcPr>
          <w:p>
            <w:pPr>
              <w:pStyle w:val="5"/>
              <w:jc w:val="center"/>
              <w:rPr>
                <w:rFonts w:ascii="宋体" w:hAnsi="宋体" w:cs="宋体"/>
                <w:color w:val="000000"/>
                <w:sz w:val="18"/>
                <w:szCs w:val="18"/>
              </w:rPr>
            </w:pPr>
          </w:p>
        </w:tc>
        <w:tc>
          <w:tcPr>
            <w:tcW w:w="851"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p>
        </w:tc>
        <w:tc>
          <w:tcPr>
            <w:tcW w:w="992"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jc w:val="center"/>
              <w:rPr>
                <w:rFonts w:ascii="宋体" w:hAnsi="宋体" w:cs="宋体"/>
                <w:color w:val="000000"/>
                <w:sz w:val="18"/>
                <w:szCs w:val="18"/>
              </w:rPr>
            </w:pPr>
          </w:p>
        </w:tc>
        <w:tc>
          <w:tcPr>
            <w:tcW w:w="85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jc w:val="center"/>
              <w:rPr>
                <w:rFonts w:ascii="宋体" w:hAnsi="宋体" w:cs="宋体"/>
                <w:color w:val="000000"/>
                <w:sz w:val="18"/>
                <w:szCs w:val="18"/>
              </w:rPr>
            </w:pPr>
            <w:r>
              <w:rPr>
                <w:rFonts w:hint="eastAsia" w:ascii="宋体" w:hAnsi="宋体" w:cs="宋体"/>
                <w:color w:val="000000"/>
                <w:sz w:val="18"/>
                <w:szCs w:val="18"/>
              </w:rPr>
              <w:t>2</w:t>
            </w:r>
            <w:r>
              <w:rPr>
                <w:rFonts w:ascii="宋体" w:hAnsi="宋体" w:cs="宋体"/>
                <w:color w:val="000000"/>
                <w:sz w:val="18"/>
                <w:szCs w:val="18"/>
              </w:rPr>
              <w:t>019</w:t>
            </w:r>
            <w:r>
              <w:rPr>
                <w:rFonts w:hint="eastAsia" w:ascii="宋体" w:hAnsi="宋体" w:cs="宋体"/>
                <w:color w:val="000000"/>
                <w:sz w:val="18"/>
                <w:szCs w:val="18"/>
              </w:rPr>
              <w:t>年6月底完成品牌调研以及溯源系统，2</w:t>
            </w:r>
            <w:r>
              <w:rPr>
                <w:rFonts w:ascii="宋体" w:hAnsi="宋体" w:cs="宋体"/>
                <w:color w:val="000000"/>
                <w:sz w:val="18"/>
                <w:szCs w:val="18"/>
              </w:rPr>
              <w:t>019</w:t>
            </w:r>
            <w:r>
              <w:rPr>
                <w:rFonts w:hint="eastAsia" w:ascii="宋体" w:hAnsi="宋体" w:cs="宋体"/>
                <w:color w:val="000000"/>
                <w:sz w:val="18"/>
                <w:szCs w:val="18"/>
              </w:rPr>
              <w:t>年底完成区域品牌注册，并持续推进</w:t>
            </w:r>
          </w:p>
        </w:tc>
        <w:tc>
          <w:tcPr>
            <w:tcW w:w="4820" w:type="dxa"/>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r>
              <w:rPr>
                <w:rFonts w:ascii="宋体" w:hAnsi="宋体" w:cs="宋体"/>
                <w:color w:val="000000"/>
                <w:kern w:val="0"/>
                <w:sz w:val="18"/>
                <w:szCs w:val="18"/>
              </w:rPr>
              <w:t>围绕“农产品上行”为核心，打造夏邑县农产品区域公用品牌</w:t>
            </w:r>
            <w:r>
              <w:rPr>
                <w:rFonts w:hint="eastAsia" w:ascii="宋体" w:hAnsi="宋体" w:cs="宋体"/>
                <w:color w:val="000000"/>
                <w:kern w:val="0"/>
                <w:sz w:val="18"/>
                <w:szCs w:val="18"/>
              </w:rPr>
              <w:t>，</w:t>
            </w:r>
            <w:r>
              <w:rPr>
                <w:rFonts w:ascii="宋体" w:hAnsi="宋体" w:cs="宋体"/>
                <w:color w:val="000000"/>
                <w:kern w:val="0"/>
                <w:sz w:val="18"/>
                <w:szCs w:val="18"/>
              </w:rPr>
              <w:t>重点扶持5 家以上示范标杆企业，建立夏邑县农特产品标准化数据库，对特色产品进行分级、开发、优化，将农产品转化为农产商品，建设形成夏邑县特色产品资源库。配置对应的</w:t>
            </w:r>
            <w:r>
              <w:rPr>
                <w:rFonts w:hint="eastAsia" w:ascii="宋体" w:hAnsi="宋体" w:cs="宋体"/>
                <w:color w:val="000000"/>
                <w:kern w:val="0"/>
                <w:sz w:val="18"/>
                <w:szCs w:val="18"/>
              </w:rPr>
              <w:t>可视化设备</w:t>
            </w:r>
            <w:r>
              <w:rPr>
                <w:rFonts w:ascii="宋体" w:hAnsi="宋体" w:cs="宋体"/>
                <w:color w:val="000000"/>
                <w:kern w:val="0"/>
                <w:sz w:val="18"/>
                <w:szCs w:val="18"/>
              </w:rPr>
              <w:t>、网络传输、溯源等设施设备，建立夏邑县农产品质量保障与追溯平台，进一步提升夏邑县农产品的商品化、标准化、品牌化</w:t>
            </w:r>
            <w:r>
              <w:rPr>
                <w:rFonts w:hint="eastAsia" w:ascii="宋体" w:hAnsi="宋体" w:cs="宋体"/>
                <w:color w:val="000000"/>
                <w:kern w:val="0"/>
                <w:sz w:val="18"/>
                <w:szCs w:val="18"/>
              </w:rPr>
              <w:t>。建设线上线下特色产品展示馆。</w:t>
            </w:r>
            <w:r>
              <w:rPr>
                <w:rFonts w:ascii="宋体" w:hAnsi="宋体" w:cs="宋体"/>
                <w:color w:val="000000"/>
                <w:kern w:val="0"/>
                <w:sz w:val="18"/>
                <w:szCs w:val="18"/>
              </w:rPr>
              <w:t>为夏邑县农产品提供第三方检测服务和第三方认证服务；建立夏邑县农产品质量追溯系统。</w:t>
            </w:r>
          </w:p>
        </w:tc>
        <w:tc>
          <w:tcPr>
            <w:tcW w:w="2023"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rPr>
                <w:rFonts w:asciiTheme="minorEastAsia" w:hAnsiTheme="minorEastAsia" w:cstheme="minorEastAsia"/>
                <w:sz w:val="18"/>
                <w:szCs w:val="18"/>
              </w:rPr>
            </w:pPr>
            <w:r>
              <w:rPr>
                <w:rFonts w:hint="eastAsia" w:ascii="宋体" w:hAnsi="宋体" w:cs="宋体"/>
                <w:color w:val="000000"/>
                <w:sz w:val="18"/>
                <w:szCs w:val="18"/>
              </w:rPr>
              <w:t>提交夏邑农村电商一标段整体实施方案及项目实施计划表；</w:t>
            </w:r>
            <w:r>
              <w:rPr>
                <w:rFonts w:ascii="宋体" w:hAnsi="宋体" w:cs="宋体"/>
                <w:color w:val="000000"/>
                <w:kern w:val="0"/>
                <w:sz w:val="18"/>
                <w:szCs w:val="18"/>
              </w:rPr>
              <w:t>农产品质量保障与追溯平台</w:t>
            </w:r>
            <w:r>
              <w:rPr>
                <w:rFonts w:hint="eastAsia" w:ascii="宋体" w:hAnsi="宋体" w:cs="宋体"/>
                <w:color w:val="000000"/>
                <w:sz w:val="18"/>
                <w:szCs w:val="18"/>
              </w:rPr>
              <w:t>测试，溯源系统与配备硬件参数对接。</w:t>
            </w:r>
            <w:r>
              <w:rPr>
                <w:rFonts w:hint="eastAsia" w:asciiTheme="minorEastAsia" w:hAnsiTheme="minorEastAsia" w:cstheme="minorEastAsia"/>
                <w:sz w:val="18"/>
                <w:szCs w:val="18"/>
              </w:rPr>
              <w:t>2公共品牌企业走访及产品摸底调查已完成。</w:t>
            </w:r>
          </w:p>
          <w:p>
            <w:pPr>
              <w:pStyle w:val="5"/>
              <w:widowControl/>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1194" w:hRule="atLeast"/>
          <w:jc w:val="center"/>
        </w:trPr>
        <w:tc>
          <w:tcPr>
            <w:tcW w:w="402"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p>
        </w:tc>
        <w:tc>
          <w:tcPr>
            <w:tcW w:w="952" w:type="dxa"/>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sz w:val="18"/>
                <w:szCs w:val="18"/>
              </w:rPr>
              <w:t>电子商务进农村宣传与应用推广</w:t>
            </w:r>
          </w:p>
        </w:tc>
        <w:tc>
          <w:tcPr>
            <w:tcW w:w="850" w:type="dxa"/>
            <w:vMerge w:val="continue"/>
            <w:tcBorders>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p>
        </w:tc>
        <w:tc>
          <w:tcPr>
            <w:tcW w:w="851"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p>
        </w:tc>
        <w:tc>
          <w:tcPr>
            <w:tcW w:w="992"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p>
        </w:tc>
        <w:tc>
          <w:tcPr>
            <w:tcW w:w="85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配合工作推进情况开展</w:t>
            </w:r>
          </w:p>
        </w:tc>
        <w:tc>
          <w:tcPr>
            <w:tcW w:w="4820" w:type="dxa"/>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rPr>
                <w:rFonts w:ascii="宋体" w:hAnsi="宋体" w:cs="宋体"/>
                <w:color w:val="000000"/>
                <w:kern w:val="0"/>
                <w:sz w:val="18"/>
                <w:szCs w:val="18"/>
              </w:rPr>
            </w:pPr>
            <w:r>
              <w:rPr>
                <w:rFonts w:ascii="宋体" w:hAnsi="宋体" w:cs="宋体"/>
                <w:color w:val="000000"/>
                <w:kern w:val="0"/>
                <w:sz w:val="18"/>
                <w:szCs w:val="18"/>
              </w:rPr>
              <w:t>定期组织企业沙龙交流活动，</w:t>
            </w:r>
            <w:r>
              <w:rPr>
                <w:rFonts w:hint="eastAsia" w:ascii="宋体" w:hAnsi="宋体" w:cs="宋体"/>
                <w:color w:val="000000"/>
                <w:kern w:val="0"/>
                <w:sz w:val="18"/>
                <w:szCs w:val="18"/>
              </w:rPr>
              <w:t>通过多种方式宣传农村电商，营造发展农村电商的浓厚氛围，加快农民触网、入网步伐；充分利用传统媒体传播，线下电商展会传播与线上网络媒体</w:t>
            </w:r>
            <w:r>
              <w:rPr>
                <w:rFonts w:ascii="宋体" w:hAnsi="宋体" w:cs="宋体"/>
                <w:color w:val="000000"/>
                <w:kern w:val="0"/>
                <w:sz w:val="18"/>
                <w:szCs w:val="18"/>
              </w:rPr>
              <w:t>广泛宣传电子商务进农村政策，做好线上品牌主题策划、媒体报道、品牌塑造、形象打造；挖掘优秀本土网商成功亮点案例，区域公共品牌对外宣传；年度优秀网商企业、优秀个人、先进企业单位活动策划评选。</w:t>
            </w:r>
          </w:p>
        </w:tc>
        <w:tc>
          <w:tcPr>
            <w:tcW w:w="2023"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rPr>
                <w:rFonts w:ascii="宋体" w:hAnsi="宋体" w:cs="宋体"/>
                <w:color w:val="000000"/>
                <w:kern w:val="0"/>
                <w:sz w:val="18"/>
                <w:szCs w:val="18"/>
              </w:rPr>
            </w:pPr>
            <w:r>
              <w:rPr>
                <w:rFonts w:hint="eastAsia" w:ascii="宋体" w:hAnsi="宋体" w:cs="宋体"/>
                <w:color w:val="000000"/>
                <w:kern w:val="0"/>
                <w:sz w:val="18"/>
                <w:szCs w:val="18"/>
              </w:rPr>
              <w:t>夏邑电商办微信公众号的申请认证与公众号运营</w:t>
            </w:r>
          </w:p>
          <w:p>
            <w:pPr>
              <w:pStyle w:val="5"/>
              <w:widowControl/>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1194" w:hRule="atLeast"/>
          <w:jc w:val="center"/>
        </w:trPr>
        <w:tc>
          <w:tcPr>
            <w:tcW w:w="402" w:type="dxa"/>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2</w:t>
            </w:r>
          </w:p>
        </w:tc>
        <w:tc>
          <w:tcPr>
            <w:tcW w:w="952" w:type="dxa"/>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spacing w:line="360" w:lineRule="auto"/>
              <w:jc w:val="center"/>
              <w:rPr>
                <w:rFonts w:ascii="宋体" w:hAnsi="宋体" w:cs="宋体"/>
                <w:kern w:val="0"/>
                <w:sz w:val="18"/>
                <w:szCs w:val="18"/>
                <w:lang w:bidi="ar"/>
              </w:rPr>
            </w:pPr>
            <w:r>
              <w:rPr>
                <w:rFonts w:hint="eastAsia" w:ascii="宋体" w:hAnsi="宋体" w:cs="宋体"/>
                <w:kern w:val="0"/>
                <w:sz w:val="18"/>
                <w:szCs w:val="18"/>
                <w:lang w:bidi="ar"/>
              </w:rPr>
              <w:t>镇村级电子商务服务站点建设</w:t>
            </w:r>
          </w:p>
        </w:tc>
        <w:tc>
          <w:tcPr>
            <w:tcW w:w="850" w:type="dxa"/>
            <w:tcBorders>
              <w:top w:val="single" w:color="000000" w:sz="8" w:space="0"/>
              <w:left w:val="nil"/>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sz w:val="18"/>
                <w:szCs w:val="18"/>
              </w:rPr>
            </w:pPr>
            <w:r>
              <w:rPr>
                <w:rFonts w:hint="eastAsia" w:ascii="宋体" w:hAnsi="宋体" w:cs="宋体"/>
                <w:color w:val="000000"/>
                <w:sz w:val="18"/>
                <w:szCs w:val="18"/>
              </w:rPr>
              <w:t>6</w:t>
            </w:r>
            <w:r>
              <w:rPr>
                <w:rFonts w:ascii="宋体" w:hAnsi="宋体" w:cs="宋体"/>
                <w:color w:val="000000"/>
                <w:sz w:val="18"/>
                <w:szCs w:val="18"/>
              </w:rPr>
              <w:t>00</w:t>
            </w:r>
          </w:p>
        </w:tc>
        <w:tc>
          <w:tcPr>
            <w:tcW w:w="85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rPr>
                <w:rFonts w:ascii="宋体" w:hAnsi="宋体" w:cs="宋体"/>
                <w:color w:val="000000"/>
                <w:sz w:val="18"/>
                <w:szCs w:val="18"/>
              </w:rPr>
            </w:pPr>
            <w:r>
              <w:rPr>
                <w:rFonts w:hint="eastAsia" w:ascii="宋体" w:hAnsi="宋体" w:cs="宋体"/>
                <w:color w:val="000000"/>
                <w:sz w:val="18"/>
                <w:szCs w:val="18"/>
              </w:rPr>
              <w:t xml:space="preserve"> </w:t>
            </w:r>
            <w:r>
              <w:rPr>
                <w:rFonts w:ascii="宋体" w:hAnsi="宋体" w:cs="宋体"/>
                <w:color w:val="000000"/>
                <w:sz w:val="18"/>
                <w:szCs w:val="18"/>
              </w:rPr>
              <w:t xml:space="preserve"> </w:t>
            </w:r>
          </w:p>
        </w:tc>
        <w:tc>
          <w:tcPr>
            <w:tcW w:w="992" w:type="dxa"/>
            <w:tcBorders>
              <w:top w:val="single" w:color="000000" w:sz="8"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河南洲山科技有限公司</w:t>
            </w:r>
          </w:p>
        </w:tc>
        <w:tc>
          <w:tcPr>
            <w:tcW w:w="850" w:type="dxa"/>
            <w:tcBorders>
              <w:top w:val="single" w:color="000000" w:sz="8"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2019年底完成400个站点建设和运营，包含143个贫困村点建设</w:t>
            </w:r>
          </w:p>
        </w:tc>
        <w:tc>
          <w:tcPr>
            <w:tcW w:w="4820" w:type="dxa"/>
            <w:tcBorders>
              <w:top w:val="single" w:color="000000" w:sz="8" w:space="0"/>
              <w:left w:val="single" w:color="auto" w:sz="4" w:space="0"/>
              <w:right w:val="single" w:color="000000" w:sz="8" w:space="0"/>
            </w:tcBorders>
            <w:shd w:val="clear" w:color="auto" w:fill="FFFFFF"/>
            <w:tcMar>
              <w:top w:w="0" w:type="dxa"/>
              <w:left w:w="105" w:type="dxa"/>
              <w:bottom w:w="0" w:type="dxa"/>
              <w:right w:w="105" w:type="dxa"/>
            </w:tcMar>
            <w:vAlign w:val="center"/>
          </w:tcPr>
          <w:p>
            <w:pPr>
              <w:pStyle w:val="5"/>
              <w:widowControl/>
              <w:jc w:val="both"/>
              <w:rPr>
                <w:rFonts w:ascii="宋体" w:hAnsi="宋体" w:cs="宋体"/>
                <w:color w:val="000000"/>
                <w:sz w:val="18"/>
                <w:szCs w:val="18"/>
              </w:rPr>
            </w:pPr>
            <w:r>
              <w:rPr>
                <w:rFonts w:hint="eastAsia" w:ascii="宋体" w:hAnsi="宋体" w:cs="宋体"/>
                <w:color w:val="000000"/>
                <w:sz w:val="18"/>
                <w:szCs w:val="18"/>
              </w:rPr>
              <w:t>支持政府或者承办企业为开展电子商务服务对乡村电子商务服务站点进行改造装修，配置站点办公相关设备和对站点工作人员的相关培训等。村级站点为村民提供更多便民服务，镇级站点应具备电子商务普及推广、小微电商（网商）孵化、整合当地农特产品，农特产品线下体验、网络代购代销、承接物流快递等功能。</w:t>
            </w:r>
          </w:p>
        </w:tc>
        <w:tc>
          <w:tcPr>
            <w:tcW w:w="2023"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村级服务站初级备案，电商资源初步整合，积极推进扶贫工作，村级服务站站点初步签约13家。</w:t>
            </w:r>
          </w:p>
        </w:tc>
      </w:tr>
      <w:tr>
        <w:tblPrEx>
          <w:tblLayout w:type="fixed"/>
          <w:tblCellMar>
            <w:top w:w="15" w:type="dxa"/>
            <w:left w:w="15" w:type="dxa"/>
            <w:bottom w:w="15" w:type="dxa"/>
            <w:right w:w="15" w:type="dxa"/>
          </w:tblCellMar>
        </w:tblPrEx>
        <w:trPr>
          <w:trHeight w:val="1882" w:hRule="atLeast"/>
          <w:jc w:val="center"/>
        </w:trPr>
        <w:tc>
          <w:tcPr>
            <w:tcW w:w="402" w:type="dxa"/>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3</w:t>
            </w:r>
          </w:p>
        </w:tc>
        <w:tc>
          <w:tcPr>
            <w:tcW w:w="952" w:type="dxa"/>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sz w:val="18"/>
                <w:szCs w:val="18"/>
              </w:rPr>
              <w:t>电子商务人才培养体系建设</w:t>
            </w:r>
          </w:p>
        </w:tc>
        <w:tc>
          <w:tcPr>
            <w:tcW w:w="850" w:type="dxa"/>
            <w:tcBorders>
              <w:top w:val="single" w:color="000000" w:sz="8" w:space="0"/>
              <w:left w:val="nil"/>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sz w:val="18"/>
                <w:szCs w:val="18"/>
              </w:rPr>
            </w:pPr>
            <w:r>
              <w:rPr>
                <w:rFonts w:hint="eastAsia" w:ascii="宋体" w:hAnsi="宋体" w:cs="宋体"/>
                <w:color w:val="000000"/>
                <w:sz w:val="18"/>
                <w:szCs w:val="18"/>
              </w:rPr>
              <w:t>3</w:t>
            </w:r>
            <w:r>
              <w:rPr>
                <w:rFonts w:ascii="宋体" w:hAnsi="宋体" w:cs="宋体"/>
                <w:color w:val="000000"/>
                <w:sz w:val="18"/>
                <w:szCs w:val="18"/>
              </w:rPr>
              <w:t>00</w:t>
            </w:r>
          </w:p>
        </w:tc>
        <w:tc>
          <w:tcPr>
            <w:tcW w:w="85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p>
        </w:tc>
        <w:tc>
          <w:tcPr>
            <w:tcW w:w="992" w:type="dxa"/>
            <w:tcBorders>
              <w:top w:val="single" w:color="000000" w:sz="8"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河南省博览事务局有限公司</w:t>
            </w:r>
          </w:p>
        </w:tc>
        <w:tc>
          <w:tcPr>
            <w:tcW w:w="850"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2020年底完成培训10000人次以上</w:t>
            </w:r>
          </w:p>
        </w:tc>
        <w:tc>
          <w:tcPr>
            <w:tcW w:w="4820" w:type="dxa"/>
            <w:tcBorders>
              <w:top w:val="single" w:color="000000" w:sz="8" w:space="0"/>
              <w:left w:val="single" w:color="auto" w:sz="4" w:space="0"/>
              <w:right w:val="single" w:color="000000" w:sz="8" w:space="0"/>
            </w:tcBorders>
            <w:shd w:val="clear" w:color="auto" w:fill="FFFFFF"/>
            <w:tcMar>
              <w:top w:w="0" w:type="dxa"/>
              <w:left w:w="105" w:type="dxa"/>
              <w:bottom w:w="0" w:type="dxa"/>
              <w:right w:w="105" w:type="dxa"/>
            </w:tcMar>
            <w:vAlign w:val="center"/>
          </w:tcPr>
          <w:p>
            <w:pPr>
              <w:widowControl/>
              <w:spacing w:line="26" w:lineRule="atLeast"/>
              <w:jc w:val="left"/>
              <w:rPr>
                <w:rFonts w:ascii="宋体" w:hAnsi="宋体" w:cs="宋体"/>
                <w:color w:val="000000"/>
                <w:sz w:val="18"/>
                <w:szCs w:val="18"/>
              </w:rPr>
            </w:pPr>
            <w:r>
              <w:rPr>
                <w:rFonts w:ascii="宋体" w:hAnsi="宋体" w:cs="宋体"/>
                <w:kern w:val="0"/>
                <w:sz w:val="18"/>
                <w:szCs w:val="18"/>
                <w:lang w:bidi="ar"/>
              </w:rPr>
              <w:t>通过对政府人员、专业合作社、种养殖大户、返乡青年、有志愿往电商方面发展的人员、残疾人员、贫困人口等不同人群,分类进行电商基础知识、网上开店技巧、网购操作等培训，提高各类人群对电子商务的认识,增强电商氛围,普及电商应用,增加电商从业人员,促进电商扶贫。3年内内全县累计培训10000人次,其中对70%有能力有意愿的贫困户进行免费培训，对70%乡镇村干部和第一书记轮训,在70%有条件的贫困户每村培育一名电商带头人。</w:t>
            </w:r>
          </w:p>
        </w:tc>
        <w:tc>
          <w:tcPr>
            <w:tcW w:w="2023" w:type="dxa"/>
            <w:tcBorders>
              <w:top w:val="single" w:color="auto" w:sz="4" w:space="0"/>
              <w:left w:val="nil"/>
              <w:right w:val="single" w:color="000000" w:sz="8" w:space="0"/>
            </w:tcBorders>
            <w:shd w:val="clear" w:color="auto" w:fill="FFFFFF"/>
            <w:tcMar>
              <w:top w:w="0" w:type="dxa"/>
              <w:left w:w="105" w:type="dxa"/>
              <w:bottom w:w="0" w:type="dxa"/>
              <w:right w:w="105" w:type="dxa"/>
            </w:tcMar>
            <w:vAlign w:val="center"/>
          </w:tcPr>
          <w:p>
            <w:pPr>
              <w:pStyle w:val="5"/>
              <w:jc w:val="center"/>
              <w:rPr>
                <w:rFonts w:ascii="宋体" w:hAnsi="宋体" w:cs="宋体"/>
                <w:color w:val="000000"/>
                <w:sz w:val="18"/>
                <w:szCs w:val="18"/>
              </w:rPr>
            </w:pPr>
            <w:r>
              <w:rPr>
                <w:rFonts w:hint="eastAsia" w:ascii="宋体" w:hAnsi="宋体" w:cs="宋体"/>
                <w:sz w:val="18"/>
                <w:szCs w:val="18"/>
                <w:lang w:bidi="ar"/>
              </w:rPr>
              <w:t>下乡宣传电商服务中心开设免费培训课程，发放宣传页，挂宣传条幅。</w:t>
            </w:r>
          </w:p>
        </w:tc>
      </w:tr>
      <w:tr>
        <w:tblPrEx>
          <w:tblLayout w:type="fixed"/>
          <w:tblCellMar>
            <w:top w:w="15" w:type="dxa"/>
            <w:left w:w="15" w:type="dxa"/>
            <w:bottom w:w="15" w:type="dxa"/>
            <w:right w:w="15" w:type="dxa"/>
          </w:tblCellMar>
        </w:tblPrEx>
        <w:trPr>
          <w:jc w:val="center"/>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4</w:t>
            </w:r>
          </w:p>
        </w:tc>
        <w:tc>
          <w:tcPr>
            <w:tcW w:w="95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sz w:val="18"/>
                <w:szCs w:val="18"/>
              </w:rPr>
              <w:t>电子商务物流配送体系建设</w:t>
            </w:r>
          </w:p>
        </w:tc>
        <w:tc>
          <w:tcPr>
            <w:tcW w:w="850"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ascii="宋体" w:hAnsi="宋体" w:cs="宋体"/>
                <w:sz w:val="18"/>
                <w:szCs w:val="18"/>
              </w:rPr>
              <w:t>55</w:t>
            </w:r>
            <w:r>
              <w:rPr>
                <w:rFonts w:hint="eastAsia" w:ascii="宋体" w:hAnsi="宋体" w:cs="宋体"/>
                <w:sz w:val="18"/>
                <w:szCs w:val="18"/>
              </w:rPr>
              <w:t>0</w:t>
            </w:r>
          </w:p>
        </w:tc>
        <w:tc>
          <w:tcPr>
            <w:tcW w:w="851"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p>
        </w:tc>
        <w:tc>
          <w:tcPr>
            <w:tcW w:w="99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夏邑众合物流有限公司</w:t>
            </w:r>
          </w:p>
        </w:tc>
        <w:tc>
          <w:tcPr>
            <w:tcW w:w="850" w:type="dxa"/>
            <w:tcBorders>
              <w:top w:val="single" w:color="auto" w:sz="4"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2019年6月底县级仓储中心具备分拣功能，为电商提供基本的仓储服务，软件达成初步签约，8月正式投入使用。同时，整合多个乡镇物流服务站统一打造形象，统一标准和规范制度。</w:t>
            </w:r>
          </w:p>
        </w:tc>
        <w:tc>
          <w:tcPr>
            <w:tcW w:w="4820"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numPr>
                <w:ilvl w:val="0"/>
                <w:numId w:val="1"/>
              </w:numPr>
              <w:spacing w:beforeAutospacing="0" w:afterAutospacing="0"/>
              <w:jc w:val="both"/>
              <w:rPr>
                <w:rFonts w:ascii="宋体" w:hAnsi="宋体" w:cs="宋体"/>
                <w:color w:val="000000"/>
                <w:sz w:val="18"/>
                <w:szCs w:val="18"/>
              </w:rPr>
            </w:pPr>
            <w:r>
              <w:rPr>
                <w:rFonts w:hint="eastAsia" w:ascii="宋体" w:hAnsi="宋体" w:cs="宋体"/>
                <w:color w:val="000000"/>
                <w:sz w:val="18"/>
                <w:szCs w:val="18"/>
              </w:rPr>
              <w:t>县级仓储配送中心面积不低于2000平方米，具备分拣设备、配送车辆等。</w:t>
            </w:r>
          </w:p>
          <w:p>
            <w:pPr>
              <w:pStyle w:val="5"/>
              <w:widowControl/>
              <w:numPr>
                <w:ilvl w:val="0"/>
                <w:numId w:val="1"/>
              </w:numPr>
              <w:spacing w:beforeAutospacing="0" w:afterAutospacing="0"/>
              <w:jc w:val="both"/>
              <w:rPr>
                <w:rFonts w:ascii="宋体" w:hAnsi="宋体" w:cs="宋体"/>
                <w:color w:val="000000"/>
                <w:sz w:val="18"/>
                <w:szCs w:val="18"/>
              </w:rPr>
            </w:pPr>
            <w:r>
              <w:rPr>
                <w:rFonts w:hint="eastAsia" w:ascii="宋体" w:hAnsi="宋体" w:cs="宋体"/>
                <w:color w:val="000000"/>
                <w:sz w:val="18"/>
                <w:szCs w:val="18"/>
              </w:rPr>
              <w:t>乡级和村级物流服务站点。整合多个乡镇物流服务站点，打造物流共享服务站，融合多家社会快递资源，统一打造形象，统一设定标准和管理规范。</w:t>
            </w:r>
          </w:p>
          <w:p>
            <w:pPr>
              <w:pStyle w:val="5"/>
              <w:widowControl/>
              <w:numPr>
                <w:ilvl w:val="0"/>
                <w:numId w:val="1"/>
              </w:numPr>
              <w:spacing w:beforeAutospacing="0" w:afterAutospacing="0"/>
              <w:jc w:val="both"/>
              <w:rPr>
                <w:rFonts w:ascii="宋体" w:hAnsi="宋体" w:cs="宋体"/>
                <w:color w:val="000000"/>
                <w:sz w:val="18"/>
                <w:szCs w:val="18"/>
              </w:rPr>
            </w:pPr>
            <w:r>
              <w:rPr>
                <w:rFonts w:hint="eastAsia" w:ascii="宋体" w:hAnsi="宋体" w:cs="宋体"/>
                <w:color w:val="000000"/>
                <w:sz w:val="18"/>
                <w:szCs w:val="18"/>
              </w:rPr>
              <w:t>物流信息统计分析系统。将每天的实时配送数据传至电子商务公共服务中心的大数据中心，通过数据分析制定合理的物流整合配送方案。</w:t>
            </w:r>
          </w:p>
          <w:p>
            <w:pPr>
              <w:pStyle w:val="5"/>
              <w:widowControl/>
              <w:numPr>
                <w:ilvl w:val="0"/>
                <w:numId w:val="1"/>
              </w:numPr>
              <w:spacing w:beforeAutospacing="0" w:afterAutospacing="0"/>
              <w:jc w:val="both"/>
              <w:rPr>
                <w:rFonts w:ascii="宋体" w:hAnsi="宋体" w:cs="宋体"/>
                <w:color w:val="000000"/>
                <w:sz w:val="18"/>
                <w:szCs w:val="18"/>
              </w:rPr>
            </w:pPr>
            <w:r>
              <w:rPr>
                <w:rFonts w:hint="eastAsia" w:ascii="宋体" w:hAnsi="宋体" w:cs="宋体"/>
                <w:color w:val="000000"/>
                <w:sz w:val="18"/>
                <w:szCs w:val="18"/>
              </w:rPr>
              <w:t>为县内电商企业提供云仓服务。</w:t>
            </w:r>
          </w:p>
        </w:tc>
        <w:tc>
          <w:tcPr>
            <w:tcW w:w="2023" w:type="dxa"/>
            <w:tcBorders>
              <w:top w:val="single" w:color="auto" w:sz="4"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cs="宋体"/>
                <w:color w:val="000000"/>
                <w:sz w:val="18"/>
                <w:szCs w:val="18"/>
              </w:rPr>
            </w:pPr>
            <w:r>
              <w:rPr>
                <w:rFonts w:hint="eastAsia" w:ascii="宋体" w:hAnsi="宋体" w:cs="宋体"/>
                <w:color w:val="000000"/>
                <w:sz w:val="18"/>
                <w:szCs w:val="18"/>
              </w:rPr>
              <w:t>仓储中心升级装修，水电网的改造，地面地坪漆，办公房屋的搭建，门窗的维修等各项工作，预计下月竣工完成。与软件公司作进一步的沟通，并确定签约事宜。</w:t>
            </w:r>
          </w:p>
        </w:tc>
      </w:tr>
    </w:tbl>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A6E7CA"/>
    <w:multiLevelType w:val="singleLevel"/>
    <w:tmpl w:val="B8A6E7C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4D"/>
    <w:rsid w:val="0000017A"/>
    <w:rsid w:val="002E774D"/>
    <w:rsid w:val="0030284E"/>
    <w:rsid w:val="006F7510"/>
    <w:rsid w:val="00E7016C"/>
    <w:rsid w:val="0AD85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0"/>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字符"/>
    <w:basedOn w:val="7"/>
    <w:link w:val="4"/>
    <w:uiPriority w:val="99"/>
    <w:rPr>
      <w:sz w:val="18"/>
      <w:szCs w:val="18"/>
    </w:rPr>
  </w:style>
  <w:style w:type="character" w:customStyle="1" w:styleId="9">
    <w:name w:val="页脚 字符"/>
    <w:basedOn w:val="7"/>
    <w:link w:val="3"/>
    <w:uiPriority w:val="99"/>
    <w:rPr>
      <w:sz w:val="18"/>
      <w:szCs w:val="18"/>
    </w:rPr>
  </w:style>
  <w:style w:type="character" w:customStyle="1" w:styleId="10">
    <w:name w:val="标题 2 字符"/>
    <w:basedOn w:val="7"/>
    <w:link w:val="2"/>
    <w:uiPriority w:val="0"/>
    <w:rPr>
      <w:rFonts w:ascii="宋体" w:hAnsi="宋体" w:eastAsia="宋体" w:cs="Times New Roman"/>
      <w:b/>
      <w:kern w:val="0"/>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290</Words>
  <Characters>1654</Characters>
  <Lines>13</Lines>
  <Paragraphs>3</Paragraphs>
  <TotalTime>0</TotalTime>
  <ScaleCrop>false</ScaleCrop>
  <LinksUpToDate>false</LinksUpToDate>
  <CharactersWithSpaces>1941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2019-08-11T02:32:00Z</dcterms:created>
  <dc:creator>ZLT</dc:creator>
  <cp:lastModifiedBy>Administrator</cp:lastModifiedBy>
  <dcterms:modified xsi:type="dcterms:W3CDTF">2019-08-12T12:56:50Z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