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文星标宋" w:hAnsi="文星标宋" w:eastAsia="文星标宋"/>
          <w:bCs/>
          <w:sz w:val="44"/>
          <w:szCs w:val="44"/>
          <w:lang w:val="en-US" w:eastAsia="zh-CN"/>
        </w:rPr>
      </w:pPr>
      <w:r>
        <w:rPr>
          <w:rFonts w:hint="eastAsia" w:ascii="文星标宋" w:hAnsi="文星标宋" w:eastAsia="文星标宋"/>
          <w:bCs/>
          <w:sz w:val="44"/>
          <w:szCs w:val="44"/>
          <w:lang w:val="en-US" w:eastAsia="zh-CN"/>
        </w:rPr>
        <w:t>附件2：</w:t>
      </w:r>
      <w:bookmarkStart w:id="0" w:name="_GoBack"/>
      <w:bookmarkEnd w:id="0"/>
    </w:p>
    <w:p>
      <w:pPr>
        <w:spacing w:line="600" w:lineRule="exact"/>
        <w:jc w:val="center"/>
        <w:rPr>
          <w:rFonts w:hint="eastAsia" w:ascii="文星标宋" w:hAnsi="文星标宋" w:eastAsia="文星标宋"/>
          <w:bCs/>
          <w:sz w:val="44"/>
          <w:szCs w:val="44"/>
        </w:rPr>
      </w:pPr>
      <w:r>
        <w:rPr>
          <w:rFonts w:hint="eastAsia" w:ascii="文星标宋" w:hAnsi="文星标宋" w:eastAsia="文星标宋"/>
          <w:bCs/>
          <w:sz w:val="44"/>
          <w:szCs w:val="44"/>
          <w:lang w:val="en-US" w:eastAsia="zh-CN"/>
        </w:rPr>
        <w:t>夏邑县住房和城乡建设局</w:t>
      </w:r>
      <w:r>
        <w:rPr>
          <w:rFonts w:hint="eastAsia" w:ascii="文星标宋" w:hAnsi="文星标宋" w:eastAsia="文星标宋"/>
          <w:bCs/>
          <w:sz w:val="44"/>
          <w:szCs w:val="44"/>
        </w:rPr>
        <w:t>“双随机、一公开”</w:t>
      </w:r>
    </w:p>
    <w:p>
      <w:pPr>
        <w:spacing w:line="600" w:lineRule="exact"/>
        <w:jc w:val="center"/>
        <w:rPr>
          <w:rFonts w:hint="eastAsia" w:ascii="文星标宋" w:hAnsi="文星标宋" w:eastAsia="文星标宋"/>
          <w:bCs/>
          <w:sz w:val="44"/>
          <w:szCs w:val="44"/>
        </w:rPr>
      </w:pPr>
      <w:r>
        <w:rPr>
          <w:rFonts w:hint="eastAsia" w:ascii="文星标宋" w:hAnsi="文星标宋" w:eastAsia="文星标宋"/>
          <w:bCs/>
          <w:sz w:val="44"/>
          <w:szCs w:val="44"/>
          <w:lang w:val="en-US" w:eastAsia="zh-CN"/>
        </w:rPr>
        <w:t>随机</w:t>
      </w:r>
      <w:r>
        <w:rPr>
          <w:rFonts w:hint="eastAsia" w:ascii="文星标宋" w:hAnsi="文星标宋" w:eastAsia="文星标宋"/>
          <w:bCs/>
          <w:sz w:val="44"/>
          <w:szCs w:val="44"/>
        </w:rPr>
        <w:t>抽查事项清单</w:t>
      </w:r>
    </w:p>
    <w:tbl>
      <w:tblPr>
        <w:tblStyle w:val="2"/>
        <w:tblpPr w:leftFromText="180" w:rightFromText="180" w:vertAnchor="text" w:horzAnchor="page" w:tblpX="1767" w:tblpY="572"/>
        <w:tblOverlap w:val="never"/>
        <w:tblW w:w="12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1"/>
        <w:gridCol w:w="1937"/>
        <w:gridCol w:w="3489"/>
        <w:gridCol w:w="897"/>
        <w:gridCol w:w="1046"/>
        <w:gridCol w:w="1185"/>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4" w:hRule="atLeast"/>
          <w:tblHeader/>
        </w:trPr>
        <w:tc>
          <w:tcPr>
            <w:tcW w:w="521" w:type="dxa"/>
            <w:noWrap w:val="0"/>
            <w:vAlign w:val="center"/>
          </w:tcPr>
          <w:p>
            <w:pPr>
              <w:widowControl/>
              <w:snapToGrid w:val="0"/>
              <w:spacing w:line="340" w:lineRule="exact"/>
              <w:ind w:left="0" w:leftChars="0" w:firstLine="0" w:firstLineChars="0"/>
              <w:jc w:val="both"/>
              <w:rPr>
                <w:rFonts w:ascii="黑体" w:hAnsi="宋体" w:eastAsia="黑体" w:cs="宋体"/>
                <w:color w:val="auto"/>
                <w:kern w:val="0"/>
                <w:szCs w:val="21"/>
              </w:rPr>
            </w:pPr>
            <w:r>
              <w:rPr>
                <w:rFonts w:hint="eastAsia" w:ascii="黑体" w:hAnsi="宋体" w:eastAsia="黑体" w:cs="宋体"/>
                <w:color w:val="auto"/>
                <w:kern w:val="0"/>
                <w:szCs w:val="21"/>
              </w:rPr>
              <w:t>序号</w:t>
            </w:r>
          </w:p>
        </w:tc>
        <w:tc>
          <w:tcPr>
            <w:tcW w:w="1937" w:type="dxa"/>
            <w:noWrap w:val="0"/>
            <w:vAlign w:val="center"/>
          </w:tcPr>
          <w:p>
            <w:pPr>
              <w:widowControl/>
              <w:snapToGrid w:val="0"/>
              <w:spacing w:line="340" w:lineRule="exact"/>
              <w:ind w:left="0" w:leftChars="0" w:firstLine="0" w:firstLineChars="0"/>
              <w:jc w:val="center"/>
              <w:rPr>
                <w:rFonts w:ascii="黑体" w:hAnsi="宋体" w:eastAsia="黑体" w:cs="宋体"/>
                <w:color w:val="auto"/>
                <w:kern w:val="0"/>
                <w:szCs w:val="21"/>
              </w:rPr>
            </w:pPr>
            <w:r>
              <w:rPr>
                <w:rFonts w:hint="eastAsia" w:ascii="黑体" w:hAnsi="宋体" w:eastAsia="黑体" w:cs="宋体"/>
                <w:color w:val="auto"/>
                <w:kern w:val="0"/>
                <w:szCs w:val="21"/>
              </w:rPr>
              <w:t>抽查事项</w:t>
            </w:r>
          </w:p>
          <w:p>
            <w:pPr>
              <w:snapToGrid w:val="0"/>
              <w:spacing w:line="340" w:lineRule="exact"/>
              <w:ind w:left="0" w:leftChars="0" w:firstLine="0" w:firstLineChars="0"/>
              <w:jc w:val="center"/>
              <w:rPr>
                <w:rFonts w:ascii="黑体" w:hAnsi="宋体" w:eastAsia="黑体" w:cs="宋体"/>
                <w:color w:val="auto"/>
                <w:kern w:val="0"/>
                <w:szCs w:val="21"/>
              </w:rPr>
            </w:pPr>
            <w:r>
              <w:rPr>
                <w:rFonts w:hint="eastAsia" w:ascii="黑体" w:hAnsi="宋体" w:eastAsia="黑体" w:cs="宋体"/>
                <w:color w:val="auto"/>
                <w:kern w:val="0"/>
                <w:szCs w:val="21"/>
              </w:rPr>
              <w:t>名    称</w:t>
            </w:r>
          </w:p>
        </w:tc>
        <w:tc>
          <w:tcPr>
            <w:tcW w:w="3489" w:type="dxa"/>
            <w:noWrap w:val="0"/>
            <w:vAlign w:val="center"/>
          </w:tcPr>
          <w:p>
            <w:pPr>
              <w:widowControl/>
              <w:snapToGrid w:val="0"/>
              <w:spacing w:line="340" w:lineRule="exact"/>
              <w:jc w:val="center"/>
              <w:rPr>
                <w:rFonts w:ascii="黑体" w:hAnsi="宋体" w:eastAsia="黑体" w:cs="宋体"/>
                <w:color w:val="auto"/>
                <w:kern w:val="0"/>
                <w:szCs w:val="21"/>
              </w:rPr>
            </w:pPr>
            <w:r>
              <w:rPr>
                <w:rFonts w:hint="eastAsia" w:ascii="黑体" w:hAnsi="宋体" w:eastAsia="黑体" w:cs="宋体"/>
                <w:color w:val="auto"/>
                <w:kern w:val="0"/>
                <w:szCs w:val="21"/>
              </w:rPr>
              <w:t>抽查依据</w:t>
            </w:r>
          </w:p>
        </w:tc>
        <w:tc>
          <w:tcPr>
            <w:tcW w:w="897" w:type="dxa"/>
            <w:noWrap w:val="0"/>
            <w:vAlign w:val="center"/>
          </w:tcPr>
          <w:p>
            <w:pPr>
              <w:widowControl/>
              <w:snapToGrid w:val="0"/>
              <w:spacing w:line="340" w:lineRule="exact"/>
              <w:ind w:left="0" w:leftChars="0" w:firstLine="0" w:firstLineChars="0"/>
              <w:jc w:val="center"/>
              <w:rPr>
                <w:rFonts w:ascii="黑体" w:hAnsi="宋体" w:eastAsia="黑体" w:cs="宋体"/>
                <w:color w:val="auto"/>
                <w:kern w:val="0"/>
                <w:szCs w:val="21"/>
              </w:rPr>
            </w:pPr>
            <w:r>
              <w:rPr>
                <w:rFonts w:hint="eastAsia" w:ascii="黑体" w:hAnsi="宋体" w:eastAsia="黑体" w:cs="宋体"/>
                <w:color w:val="auto"/>
                <w:kern w:val="0"/>
                <w:szCs w:val="21"/>
              </w:rPr>
              <w:t>事项</w:t>
            </w:r>
          </w:p>
          <w:p>
            <w:pPr>
              <w:snapToGrid w:val="0"/>
              <w:spacing w:line="340" w:lineRule="exact"/>
              <w:ind w:left="0" w:leftChars="0" w:firstLine="0" w:firstLineChars="0"/>
              <w:jc w:val="center"/>
              <w:rPr>
                <w:rFonts w:ascii="黑体" w:hAnsi="宋体" w:eastAsia="黑体" w:cs="宋体"/>
                <w:color w:val="auto"/>
                <w:kern w:val="0"/>
                <w:szCs w:val="21"/>
              </w:rPr>
            </w:pPr>
            <w:r>
              <w:rPr>
                <w:rFonts w:hint="eastAsia" w:ascii="黑体" w:hAnsi="宋体" w:eastAsia="黑体" w:cs="宋体"/>
                <w:color w:val="auto"/>
                <w:kern w:val="0"/>
                <w:szCs w:val="21"/>
              </w:rPr>
              <w:t>类别</w:t>
            </w:r>
          </w:p>
        </w:tc>
        <w:tc>
          <w:tcPr>
            <w:tcW w:w="1046" w:type="dxa"/>
            <w:noWrap w:val="0"/>
            <w:vAlign w:val="center"/>
          </w:tcPr>
          <w:p>
            <w:pPr>
              <w:widowControl/>
              <w:snapToGrid w:val="0"/>
              <w:spacing w:line="340" w:lineRule="exact"/>
              <w:ind w:left="0" w:leftChars="0" w:firstLine="0" w:firstLineChars="0"/>
              <w:jc w:val="center"/>
              <w:rPr>
                <w:rFonts w:ascii="黑体" w:hAnsi="宋体" w:eastAsia="黑体" w:cs="宋体"/>
                <w:color w:val="auto"/>
                <w:kern w:val="0"/>
                <w:szCs w:val="21"/>
              </w:rPr>
            </w:pPr>
            <w:r>
              <w:rPr>
                <w:rFonts w:hint="eastAsia" w:ascii="黑体" w:hAnsi="宋体" w:eastAsia="黑体" w:cs="宋体"/>
                <w:color w:val="auto"/>
                <w:kern w:val="0"/>
                <w:szCs w:val="21"/>
              </w:rPr>
              <w:t>检查对象</w:t>
            </w:r>
          </w:p>
        </w:tc>
        <w:tc>
          <w:tcPr>
            <w:tcW w:w="1185" w:type="dxa"/>
            <w:noWrap w:val="0"/>
            <w:vAlign w:val="center"/>
          </w:tcPr>
          <w:p>
            <w:pPr>
              <w:widowControl/>
              <w:snapToGrid w:val="0"/>
              <w:spacing w:line="340" w:lineRule="exact"/>
              <w:ind w:left="0" w:leftChars="0" w:firstLine="0" w:firstLineChars="0"/>
              <w:jc w:val="center"/>
              <w:rPr>
                <w:rFonts w:ascii="黑体" w:hAnsi="宋体" w:eastAsia="黑体" w:cs="宋体"/>
                <w:color w:val="auto"/>
                <w:kern w:val="0"/>
                <w:szCs w:val="21"/>
              </w:rPr>
            </w:pPr>
            <w:r>
              <w:rPr>
                <w:rFonts w:hint="eastAsia" w:ascii="黑体" w:hAnsi="宋体" w:eastAsia="黑体" w:cs="宋体"/>
                <w:color w:val="auto"/>
                <w:kern w:val="0"/>
                <w:szCs w:val="21"/>
              </w:rPr>
              <w:t>检查方式</w:t>
            </w:r>
          </w:p>
        </w:tc>
        <w:tc>
          <w:tcPr>
            <w:tcW w:w="3593" w:type="dxa"/>
            <w:noWrap w:val="0"/>
            <w:vAlign w:val="center"/>
          </w:tcPr>
          <w:p>
            <w:pPr>
              <w:tabs>
                <w:tab w:val="left" w:pos="1710"/>
              </w:tabs>
              <w:spacing w:line="300" w:lineRule="exact"/>
              <w:ind w:left="0" w:leftChars="0" w:firstLine="0" w:firstLineChars="0"/>
              <w:jc w:val="center"/>
              <w:rPr>
                <w:rFonts w:ascii="黑体" w:hAnsi="黑体" w:eastAsia="黑体" w:cs="Times New Roman"/>
                <w:szCs w:val="21"/>
              </w:rPr>
            </w:pPr>
            <w:r>
              <w:rPr>
                <w:rFonts w:hint="eastAsia" w:ascii="黑体" w:hAnsi="黑体" w:eastAsia="黑体" w:cs="Times New Roman"/>
                <w:szCs w:val="21"/>
              </w:rPr>
              <w:t>抽查内容及</w:t>
            </w:r>
          </w:p>
          <w:p>
            <w:pPr>
              <w:tabs>
                <w:tab w:val="left" w:pos="1710"/>
              </w:tabs>
              <w:spacing w:line="300" w:lineRule="exact"/>
              <w:ind w:left="0" w:leftChars="0" w:firstLine="0" w:firstLineChars="0"/>
              <w:jc w:val="center"/>
              <w:rPr>
                <w:rFonts w:hint="eastAsia" w:ascii="黑体" w:hAnsi="宋体" w:eastAsia="黑体" w:cs="宋体"/>
                <w:color w:val="auto"/>
                <w:kern w:val="0"/>
                <w:szCs w:val="21"/>
              </w:rPr>
            </w:pPr>
            <w:r>
              <w:rPr>
                <w:rFonts w:hint="eastAsia" w:ascii="黑体" w:hAnsi="黑体" w:eastAsia="黑体" w:cs="Times New Roman"/>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1</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工程勘察、设计企业</w:t>
            </w:r>
            <w:r>
              <w:rPr>
                <w:rFonts w:hint="eastAsia" w:ascii="仿宋_GB2312" w:hAnsi="宋体" w:eastAsia="仿宋_GB2312" w:cs="宋体"/>
                <w:color w:val="auto"/>
                <w:kern w:val="0"/>
                <w:sz w:val="18"/>
                <w:szCs w:val="18"/>
                <w:lang w:val="en-US" w:eastAsia="zh-CN"/>
              </w:rPr>
              <w:t>检查</w:t>
            </w:r>
          </w:p>
        </w:tc>
        <w:tc>
          <w:tcPr>
            <w:tcW w:w="3489"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《中华人民共和国建筑法》《建设工程勘察设计管理条例》《建设工程勘察设计资质管理规定》《建设工程勘察设计资质管理规定》</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一般检查事项</w:t>
            </w:r>
          </w:p>
        </w:tc>
        <w:tc>
          <w:tcPr>
            <w:tcW w:w="1046"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r>
              <w:rPr>
                <w:rFonts w:hint="eastAsia" w:ascii="仿宋_GB2312" w:hAnsi="宋体" w:eastAsia="仿宋_GB2312" w:cs="宋体"/>
                <w:color w:val="auto"/>
                <w:kern w:val="0"/>
                <w:sz w:val="18"/>
                <w:szCs w:val="18"/>
                <w:lang w:val="en-US" w:eastAsia="zh-CN"/>
              </w:rPr>
              <w:t>中</w:t>
            </w:r>
            <w:r>
              <w:rPr>
                <w:rFonts w:hint="eastAsia" w:ascii="仿宋_GB2312" w:hAnsi="宋体" w:eastAsia="仿宋_GB2312" w:cs="宋体"/>
                <w:color w:val="auto"/>
                <w:kern w:val="0"/>
                <w:sz w:val="18"/>
                <w:szCs w:val="18"/>
              </w:rPr>
              <w:t>勘察、设计企业</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现场检查、</w:t>
            </w:r>
          </w:p>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1、工程勘察、工程设计资质证书、注册执业人员的注册执业单位与实际工作单位是否一致；2、社保缴费与人事档案等相关数据和信息是否一致；3、参保缴费单位与注册单位是否一致。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2</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工程勘察、设计、审查市场、质量检查（含抗震</w:t>
            </w:r>
            <w:r>
              <w:rPr>
                <w:rFonts w:hint="eastAsia" w:ascii="仿宋_GB2312" w:hAnsi="宋体" w:eastAsia="仿宋_GB2312" w:cs="宋体"/>
                <w:color w:val="auto"/>
                <w:kern w:val="0"/>
                <w:sz w:val="18"/>
                <w:szCs w:val="18"/>
                <w:lang w:val="en-US" w:eastAsia="zh-CN"/>
              </w:rPr>
              <w:t>设防</w:t>
            </w:r>
            <w:r>
              <w:rPr>
                <w:rFonts w:hint="eastAsia" w:ascii="仿宋_GB2312" w:hAnsi="宋体" w:eastAsia="仿宋_GB2312" w:cs="宋体"/>
                <w:color w:val="auto"/>
                <w:kern w:val="0"/>
                <w:sz w:val="18"/>
                <w:szCs w:val="18"/>
              </w:rPr>
              <w:t>）</w:t>
            </w:r>
          </w:p>
        </w:tc>
        <w:tc>
          <w:tcPr>
            <w:tcW w:w="3489"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《中华人民共和国防震减灾法》《建设工程勘察设计管理条例》《房屋建筑和市政基础设施工程施工图设计文件审查管理办法》《房屋建筑工程抗震设防管理规定》</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lang w:val="en-US" w:eastAsia="zh-CN"/>
              </w:rPr>
              <w:t>重点</w:t>
            </w:r>
            <w:r>
              <w:rPr>
                <w:rFonts w:hint="eastAsia" w:ascii="仿宋_GB2312" w:hAnsi="宋体" w:eastAsia="仿宋_GB2312" w:cs="宋体"/>
                <w:color w:val="auto"/>
                <w:kern w:val="0"/>
                <w:sz w:val="18"/>
                <w:szCs w:val="18"/>
              </w:rPr>
              <w:t>检查事项</w:t>
            </w:r>
          </w:p>
        </w:tc>
        <w:tc>
          <w:tcPr>
            <w:tcW w:w="1046"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现场检查、</w:t>
            </w:r>
          </w:p>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1.施工图是否通过审查；2.工程勘察现场作业质量控制情况；3.勘察设计文件及审查的规范性（包含超限高层建筑工程抗震设防）。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8"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3</w:t>
            </w:r>
          </w:p>
        </w:tc>
        <w:tc>
          <w:tcPr>
            <w:tcW w:w="1937" w:type="dxa"/>
            <w:noWrap w:val="0"/>
            <w:vAlign w:val="center"/>
          </w:tcPr>
          <w:p>
            <w:pPr>
              <w:widowControl/>
              <w:snapToGrid w:val="0"/>
              <w:spacing w:line="3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对建设工程消防设计审查、验收备案抽查</w:t>
            </w:r>
          </w:p>
        </w:tc>
        <w:tc>
          <w:tcPr>
            <w:tcW w:w="3489" w:type="dxa"/>
            <w:noWrap w:val="0"/>
            <w:vAlign w:val="center"/>
          </w:tcPr>
          <w:p>
            <w:pPr>
              <w:widowControl/>
              <w:snapToGrid w:val="0"/>
              <w:spacing w:line="3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《中华人民共和国消防法》《建设工程消防设计审查验收管理暂行规定》</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lang w:val="en-US" w:eastAsia="zh-CN"/>
              </w:rPr>
              <w:t>一般</w:t>
            </w:r>
            <w:r>
              <w:rPr>
                <w:rFonts w:hint="eastAsia" w:ascii="仿宋_GB2312" w:hAnsi="宋体" w:eastAsia="仿宋_GB2312" w:cs="宋体"/>
                <w:color w:val="auto"/>
                <w:kern w:val="0"/>
                <w:sz w:val="18"/>
                <w:szCs w:val="18"/>
              </w:rPr>
              <w:t>检查事项</w:t>
            </w:r>
          </w:p>
        </w:tc>
        <w:tc>
          <w:tcPr>
            <w:tcW w:w="1046"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现场检查、</w:t>
            </w:r>
          </w:p>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1.档案资料是否完整，办理程序是否规范；2.是否执行工程建设消防技术标准。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4</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建筑市场检查</w:t>
            </w:r>
            <w:r>
              <w:rPr>
                <w:rFonts w:hint="eastAsia" w:ascii="仿宋_GB2312" w:hAnsi="宋体" w:eastAsia="仿宋_GB2312" w:cs="宋体"/>
                <w:color w:val="auto"/>
                <w:kern w:val="0"/>
                <w:sz w:val="18"/>
                <w:szCs w:val="18"/>
                <w:lang w:eastAsia="zh-CN"/>
              </w:rPr>
              <w:t>（</w:t>
            </w:r>
            <w:r>
              <w:rPr>
                <w:rFonts w:hint="eastAsia" w:ascii="仿宋_GB2312" w:hAnsi="宋体" w:eastAsia="仿宋_GB2312" w:cs="宋体"/>
                <w:color w:val="auto"/>
                <w:kern w:val="0"/>
                <w:sz w:val="18"/>
                <w:szCs w:val="18"/>
                <w:lang w:val="en-US" w:eastAsia="zh-CN"/>
              </w:rPr>
              <w:t>含</w:t>
            </w:r>
            <w:r>
              <w:rPr>
                <w:rFonts w:hint="eastAsia" w:ascii="仿宋_GB2312" w:hAnsi="宋体" w:eastAsia="仿宋_GB2312" w:cs="宋体"/>
                <w:color w:val="auto"/>
                <w:spacing w:val="-10"/>
                <w:kern w:val="0"/>
                <w:sz w:val="18"/>
                <w:szCs w:val="18"/>
              </w:rPr>
              <w:t>对招投标过程的检查</w:t>
            </w:r>
            <w:r>
              <w:rPr>
                <w:rFonts w:hint="eastAsia" w:ascii="仿宋_GB2312" w:hAnsi="宋体" w:eastAsia="仿宋_GB2312" w:cs="宋体"/>
                <w:color w:val="auto"/>
                <w:kern w:val="0"/>
                <w:sz w:val="18"/>
                <w:szCs w:val="18"/>
                <w:lang w:eastAsia="zh-CN"/>
              </w:rPr>
              <w:t>）</w:t>
            </w:r>
          </w:p>
        </w:tc>
        <w:tc>
          <w:tcPr>
            <w:tcW w:w="3489"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《中华人民共和国建筑法》《中华人民共和国招标投标法》《河南省建筑市场管理条例》</w:t>
            </w:r>
            <w:r>
              <w:rPr>
                <w:rFonts w:hint="eastAsia" w:ascii="仿宋_GB2312" w:hAnsi="宋体" w:eastAsia="仿宋_GB2312" w:cs="宋体"/>
                <w:color w:val="auto"/>
                <w:kern w:val="0"/>
                <w:sz w:val="18"/>
                <w:szCs w:val="18"/>
                <w:lang w:eastAsia="zh-CN"/>
              </w:rPr>
              <w:t>《</w:t>
            </w:r>
            <w:r>
              <w:rPr>
                <w:rFonts w:hint="eastAsia" w:ascii="仿宋_GB2312" w:hAnsi="宋体" w:eastAsia="仿宋_GB2312" w:cs="宋体"/>
                <w:color w:val="auto"/>
                <w:kern w:val="0"/>
                <w:sz w:val="18"/>
                <w:szCs w:val="18"/>
                <w:lang w:val="en-US" w:eastAsia="zh-CN"/>
              </w:rPr>
              <w:t>保障农民工工资支付条例</w:t>
            </w:r>
            <w:r>
              <w:rPr>
                <w:rFonts w:hint="eastAsia" w:ascii="仿宋_GB2312" w:hAnsi="宋体" w:eastAsia="仿宋_GB2312" w:cs="宋体"/>
                <w:color w:val="auto"/>
                <w:kern w:val="0"/>
                <w:sz w:val="18"/>
                <w:szCs w:val="18"/>
                <w:lang w:eastAsia="zh-CN"/>
              </w:rPr>
              <w:t>》</w:t>
            </w:r>
            <w:r>
              <w:rPr>
                <w:rFonts w:hint="eastAsia" w:ascii="仿宋_GB2312" w:hAnsi="宋体" w:eastAsia="仿宋_GB2312" w:cs="宋体"/>
                <w:color w:val="auto"/>
                <w:kern w:val="0"/>
                <w:sz w:val="18"/>
                <w:szCs w:val="18"/>
              </w:rPr>
              <w:t>《河南省人力资源和社会保障厅 河南省住房和城乡建设厅关于推进房屋建筑和市政基础设施领域农民工实名制管理和工资支付监管信息化工作的通知》《住建部关于进一步加强房屋建筑和市政基础设施工程招标投标监管的指导意见》</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lang w:val="en-US" w:eastAsia="zh-CN"/>
              </w:rPr>
              <w:t>重点</w:t>
            </w:r>
            <w:r>
              <w:rPr>
                <w:rFonts w:hint="eastAsia" w:ascii="仿宋_GB2312" w:hAnsi="宋体" w:eastAsia="仿宋_GB2312" w:cs="宋体"/>
                <w:color w:val="auto"/>
                <w:kern w:val="0"/>
                <w:sz w:val="18"/>
                <w:szCs w:val="18"/>
              </w:rPr>
              <w:t>检查事项</w:t>
            </w:r>
          </w:p>
        </w:tc>
        <w:tc>
          <w:tcPr>
            <w:tcW w:w="1046"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现场检查、</w:t>
            </w:r>
          </w:p>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1.招标投标活动开展情况；2.施工发承包情况；3.技术人员执业资格“挂证”情况；4.保障农民工工资支付制度落实情况。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5</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建筑业企业</w:t>
            </w:r>
            <w:r>
              <w:rPr>
                <w:rFonts w:hint="eastAsia" w:ascii="仿宋_GB2312" w:hAnsi="宋体" w:eastAsia="仿宋_GB2312" w:cs="宋体"/>
                <w:color w:val="auto"/>
                <w:kern w:val="0"/>
                <w:sz w:val="18"/>
                <w:szCs w:val="18"/>
                <w:lang w:val="en-US" w:eastAsia="zh-CN"/>
              </w:rPr>
              <w:t>检查</w:t>
            </w:r>
          </w:p>
        </w:tc>
        <w:tc>
          <w:tcPr>
            <w:tcW w:w="3489"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《建筑业企业资质管理规定》</w:t>
            </w:r>
          </w:p>
        </w:tc>
        <w:tc>
          <w:tcPr>
            <w:tcW w:w="89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一般检查事项</w:t>
            </w:r>
          </w:p>
        </w:tc>
        <w:tc>
          <w:tcPr>
            <w:tcW w:w="1046" w:type="dxa"/>
            <w:noWrap w:val="0"/>
            <w:vAlign w:val="center"/>
          </w:tcPr>
          <w:p>
            <w:pPr>
              <w:widowControl/>
              <w:snapToGrid w:val="0"/>
              <w:spacing w:line="240" w:lineRule="exact"/>
              <w:ind w:left="0" w:leftChars="0" w:firstLine="0" w:firstLineChars="0"/>
              <w:rPr>
                <w:rFonts w:hint="eastAsia" w:ascii="仿宋_GB2312" w:hAnsi="宋体" w:eastAsia="仿宋_GB2312" w:cs="宋体"/>
                <w:color w:val="auto"/>
                <w:spacing w:val="-8"/>
                <w:kern w:val="0"/>
                <w:sz w:val="18"/>
                <w:szCs w:val="18"/>
                <w:lang w:val="en-US" w:eastAsia="zh-CN" w:bidi="ar-SA"/>
              </w:rPr>
            </w:pPr>
            <w:r>
              <w:rPr>
                <w:rFonts w:hint="eastAsia" w:ascii="仿宋_GB2312" w:hAnsi="宋体" w:eastAsia="仿宋_GB2312" w:cs="宋体"/>
                <w:color w:val="auto"/>
                <w:kern w:val="0"/>
                <w:sz w:val="18"/>
                <w:szCs w:val="18"/>
              </w:rPr>
              <w:t>房屋建筑工程</w:t>
            </w:r>
            <w:r>
              <w:rPr>
                <w:rFonts w:hint="eastAsia" w:ascii="仿宋_GB2312" w:hAnsi="宋体" w:eastAsia="仿宋_GB2312" w:cs="宋体"/>
                <w:color w:val="auto"/>
                <w:kern w:val="0"/>
                <w:sz w:val="18"/>
                <w:szCs w:val="18"/>
                <w:lang w:val="en-US" w:eastAsia="zh-CN"/>
              </w:rPr>
              <w:t>中</w:t>
            </w:r>
            <w:r>
              <w:rPr>
                <w:rFonts w:hint="eastAsia" w:ascii="仿宋_GB2312" w:hAnsi="宋体" w:eastAsia="仿宋_GB2312" w:cs="宋体"/>
                <w:color w:val="auto"/>
                <w:spacing w:val="-16"/>
                <w:kern w:val="0"/>
                <w:sz w:val="18"/>
                <w:szCs w:val="18"/>
              </w:rPr>
              <w:t>建筑业企业</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1.企业资质情况；2.满足建筑业企业资质标准情况。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6</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工程监理企业</w:t>
            </w:r>
            <w:r>
              <w:rPr>
                <w:rFonts w:hint="eastAsia" w:ascii="仿宋_GB2312" w:hAnsi="宋体" w:eastAsia="仿宋_GB2312" w:cs="宋体"/>
                <w:color w:val="auto"/>
                <w:kern w:val="0"/>
                <w:sz w:val="18"/>
                <w:szCs w:val="18"/>
                <w:lang w:val="en-US" w:eastAsia="zh-CN"/>
              </w:rPr>
              <w:t>检查</w:t>
            </w:r>
          </w:p>
        </w:tc>
        <w:tc>
          <w:tcPr>
            <w:tcW w:w="3489"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《工程监理企业资质管理规定》</w:t>
            </w:r>
          </w:p>
        </w:tc>
        <w:tc>
          <w:tcPr>
            <w:tcW w:w="89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一般检查事项</w:t>
            </w:r>
          </w:p>
        </w:tc>
        <w:tc>
          <w:tcPr>
            <w:tcW w:w="1046"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现场抽查、书面检查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1.企业资质情况；2.满足工程监理企业资质标准情况。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6"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7</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房屋建筑工程的质量检查</w:t>
            </w:r>
          </w:p>
        </w:tc>
        <w:tc>
          <w:tcPr>
            <w:tcW w:w="3489"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《建设工程质量管理条例》</w:t>
            </w:r>
          </w:p>
        </w:tc>
        <w:tc>
          <w:tcPr>
            <w:tcW w:w="89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lang w:val="en-US" w:eastAsia="zh-CN"/>
              </w:rPr>
              <w:t>重点</w:t>
            </w:r>
            <w:r>
              <w:rPr>
                <w:rFonts w:hint="eastAsia" w:ascii="仿宋_GB2312" w:hAnsi="宋体" w:eastAsia="仿宋_GB2312" w:cs="宋体"/>
                <w:color w:val="auto"/>
                <w:kern w:val="0"/>
                <w:sz w:val="18"/>
                <w:szCs w:val="18"/>
              </w:rPr>
              <w:t>检查事项</w:t>
            </w:r>
          </w:p>
        </w:tc>
        <w:tc>
          <w:tcPr>
            <w:tcW w:w="1046" w:type="dxa"/>
            <w:noWrap w:val="0"/>
            <w:vAlign w:val="center"/>
          </w:tcPr>
          <w:p>
            <w:pPr>
              <w:widowControl/>
              <w:snapToGrid w:val="0"/>
              <w:spacing w:line="240" w:lineRule="exact"/>
              <w:ind w:left="0" w:leftChars="0" w:firstLine="0" w:firstLineChars="0"/>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1.参建主体质量行为；.工程实体质量和进场建筑材料、设备情况；.工程质量检测机构、监督机构履职情况。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8"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8</w:t>
            </w:r>
          </w:p>
        </w:tc>
        <w:tc>
          <w:tcPr>
            <w:tcW w:w="1937" w:type="dxa"/>
            <w:noWrap w:val="0"/>
            <w:vAlign w:val="center"/>
          </w:tcPr>
          <w:p>
            <w:pPr>
              <w:widowControl/>
              <w:snapToGrid w:val="0"/>
              <w:spacing w:line="3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房建建筑工程安全监督检查</w:t>
            </w:r>
          </w:p>
        </w:tc>
        <w:tc>
          <w:tcPr>
            <w:tcW w:w="3489" w:type="dxa"/>
            <w:noWrap w:val="0"/>
            <w:vAlign w:val="center"/>
          </w:tcPr>
          <w:p>
            <w:pPr>
              <w:widowControl/>
              <w:snapToGrid w:val="0"/>
              <w:spacing w:line="3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《中华人民共和安全生产法》</w:t>
            </w:r>
          </w:p>
          <w:p>
            <w:pPr>
              <w:widowControl/>
              <w:snapToGrid w:val="0"/>
              <w:spacing w:line="3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《建设工程安全生产管理条例》</w:t>
            </w:r>
          </w:p>
        </w:tc>
        <w:tc>
          <w:tcPr>
            <w:tcW w:w="897" w:type="dxa"/>
            <w:noWrap w:val="0"/>
            <w:vAlign w:val="center"/>
          </w:tcPr>
          <w:p>
            <w:pPr>
              <w:widowControl/>
              <w:snapToGrid w:val="0"/>
              <w:spacing w:line="3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重点检查事项</w:t>
            </w:r>
          </w:p>
        </w:tc>
        <w:tc>
          <w:tcPr>
            <w:tcW w:w="1046" w:type="dxa"/>
            <w:noWrap w:val="0"/>
            <w:vAlign w:val="center"/>
          </w:tcPr>
          <w:p>
            <w:pPr>
              <w:widowControl/>
              <w:snapToGrid w:val="0"/>
              <w:spacing w:line="3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参建主体安全管理措施和安全责任落实情况；2.安全生产法律法规、强制性标准、规范执行情况；3.参建施工企业安全生产许可情况：是否具备取得安全生产许可证要求的安全生产条件；安全生产许可证是否在有效期内；是否存在转让、冒用或使用伪造安全生产许可证行为；4.安全三类人员、特种作业人员持证上岗、教育培训和履职尽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4"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9</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对建设工程质量检测机构的检查</w:t>
            </w:r>
          </w:p>
        </w:tc>
        <w:tc>
          <w:tcPr>
            <w:tcW w:w="3489"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spacing w:val="-8"/>
                <w:kern w:val="0"/>
                <w:sz w:val="18"/>
                <w:szCs w:val="18"/>
              </w:rPr>
              <w:t>《建设工程质量检测管理办法》《河南省建设工程质量检测管理办法》</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一般检查事项</w:t>
            </w:r>
          </w:p>
        </w:tc>
        <w:tc>
          <w:tcPr>
            <w:tcW w:w="1046" w:type="dxa"/>
            <w:noWrap w:val="0"/>
            <w:vAlign w:val="center"/>
          </w:tcPr>
          <w:p>
            <w:pPr>
              <w:widowControl/>
              <w:snapToGrid w:val="0"/>
              <w:spacing w:line="240" w:lineRule="exact"/>
              <w:ind w:left="0" w:leftChars="0" w:firstLine="0" w:firstLineChars="0"/>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是否符合《建设工程质量检测管理办法》、《河南省建设工程质量检测管理办法》规定的资质标准；2.是否超出资质范围从事质量检测活动；3.是否有涂改、倒卖、出租、出借或者以其他形式非法转让资质证书的行为；4.是否按规定在检测报告上签字盖章，检测报告是否真实；5.检测机构是否按有关技术标准和规定进行检测；6.仪器设备及环境条件是否符合计量认证要求；7.法律、法规规定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4"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10</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对</w:t>
            </w:r>
            <w:r>
              <w:rPr>
                <w:rFonts w:hint="eastAsia" w:ascii="仿宋_GB2312" w:hAnsi="宋体" w:eastAsia="仿宋_GB2312" w:cs="宋体"/>
                <w:color w:val="auto"/>
                <w:kern w:val="0"/>
                <w:sz w:val="18"/>
                <w:szCs w:val="18"/>
                <w:lang w:val="en-US" w:eastAsia="zh-CN"/>
              </w:rPr>
              <w:t>预拌</w:t>
            </w:r>
            <w:r>
              <w:rPr>
                <w:rFonts w:hint="eastAsia" w:ascii="仿宋_GB2312" w:hAnsi="宋体" w:eastAsia="仿宋_GB2312" w:cs="宋体"/>
                <w:color w:val="auto"/>
                <w:kern w:val="0"/>
                <w:sz w:val="18"/>
                <w:szCs w:val="18"/>
              </w:rPr>
              <w:t>混凝土企业、预拌混凝土质量的检查</w:t>
            </w:r>
          </w:p>
        </w:tc>
        <w:tc>
          <w:tcPr>
            <w:tcW w:w="3489" w:type="dxa"/>
            <w:noWrap w:val="0"/>
            <w:vAlign w:val="center"/>
          </w:tcPr>
          <w:p>
            <w:pPr>
              <w:widowControl/>
              <w:snapToGrid w:val="0"/>
              <w:spacing w:line="240" w:lineRule="exact"/>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《建筑业企业资质管理规定》《河南省预拌商品混凝土质量管理暂行规定》</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lang w:val="en-US" w:eastAsia="zh-CN"/>
              </w:rPr>
              <w:t>重点</w:t>
            </w:r>
            <w:r>
              <w:rPr>
                <w:rFonts w:hint="eastAsia" w:ascii="仿宋_GB2312" w:hAnsi="宋体" w:eastAsia="仿宋_GB2312" w:cs="宋体"/>
                <w:color w:val="auto"/>
                <w:kern w:val="0"/>
                <w:sz w:val="18"/>
                <w:szCs w:val="18"/>
              </w:rPr>
              <w:t>检查事项</w:t>
            </w:r>
          </w:p>
        </w:tc>
        <w:tc>
          <w:tcPr>
            <w:tcW w:w="1046" w:type="dxa"/>
            <w:noWrap w:val="0"/>
            <w:vAlign w:val="center"/>
          </w:tcPr>
          <w:p>
            <w:pPr>
              <w:widowControl/>
              <w:snapToGrid w:val="0"/>
              <w:spacing w:line="240" w:lineRule="exact"/>
              <w:ind w:left="0" w:leftChars="0" w:firstLine="0" w:firstLineChars="0"/>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预拌混凝土生产企业</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1.企业资质情况；2.满足</w:t>
            </w:r>
            <w:r>
              <w:rPr>
                <w:rFonts w:hint="eastAsia" w:ascii="仿宋_GB2312" w:hAnsi="宋体" w:eastAsia="仿宋_GB2312" w:cs="宋体"/>
                <w:color w:val="auto"/>
                <w:kern w:val="0"/>
                <w:sz w:val="18"/>
                <w:szCs w:val="18"/>
                <w:lang w:eastAsia="zh-CN"/>
              </w:rPr>
              <w:t>预拌混凝土</w:t>
            </w:r>
            <w:r>
              <w:rPr>
                <w:rFonts w:hint="eastAsia" w:ascii="仿宋_GB2312" w:hAnsi="宋体" w:eastAsia="仿宋_GB2312" w:cs="宋体"/>
                <w:color w:val="auto"/>
                <w:kern w:val="0"/>
                <w:sz w:val="18"/>
                <w:szCs w:val="18"/>
              </w:rPr>
              <w:t>企业资质标准情况</w:t>
            </w:r>
            <w:r>
              <w:rPr>
                <w:rFonts w:hint="eastAsia" w:ascii="仿宋_GB2312" w:hAnsi="宋体" w:eastAsia="仿宋_GB2312" w:cs="宋体"/>
                <w:color w:val="auto"/>
                <w:kern w:val="0"/>
                <w:sz w:val="18"/>
                <w:szCs w:val="18"/>
                <w:lang w:eastAsia="zh-CN"/>
              </w:rPr>
              <w:t>；</w:t>
            </w:r>
            <w:r>
              <w:rPr>
                <w:rFonts w:hint="eastAsia" w:ascii="仿宋_GB2312" w:hAnsi="宋体" w:eastAsia="仿宋_GB2312" w:cs="宋体"/>
                <w:color w:val="auto"/>
                <w:kern w:val="0"/>
                <w:sz w:val="18"/>
                <w:szCs w:val="18"/>
                <w:lang w:val="en-US" w:eastAsia="zh-CN"/>
              </w:rPr>
              <w:t>3、质量管理情况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86"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11</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建筑节能与墙材革新检查</w:t>
            </w:r>
          </w:p>
        </w:tc>
        <w:tc>
          <w:tcPr>
            <w:tcW w:w="3489"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《民用建筑节能条例》《</w:t>
            </w:r>
            <w:r>
              <w:rPr>
                <w:rFonts w:hint="eastAsia" w:ascii="仿宋_GB2312" w:hAnsi="宋体" w:eastAsia="仿宋_GB2312" w:cs="宋体"/>
                <w:color w:val="auto"/>
                <w:kern w:val="0"/>
                <w:sz w:val="18"/>
                <w:szCs w:val="18"/>
                <w:lang w:eastAsia="zh-CN"/>
              </w:rPr>
              <w:t>河南省绿色建筑条例》《中华人民共和国节约能源法》</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lang w:val="en-US" w:eastAsia="zh-CN"/>
              </w:rPr>
              <w:t>重点</w:t>
            </w:r>
            <w:r>
              <w:rPr>
                <w:rFonts w:hint="eastAsia" w:ascii="仿宋_GB2312" w:hAnsi="宋体" w:eastAsia="仿宋_GB2312" w:cs="宋体"/>
                <w:color w:val="auto"/>
                <w:kern w:val="0"/>
                <w:sz w:val="18"/>
                <w:szCs w:val="18"/>
              </w:rPr>
              <w:t>检查事项</w:t>
            </w:r>
          </w:p>
        </w:tc>
        <w:tc>
          <w:tcPr>
            <w:tcW w:w="1046"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国家、省有关建筑节能、绿色建筑、新型墙材的法律、法规及标准规范的执行情况。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4"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12</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对工程造价咨询单位从事工程造价咨询业务活动的检查</w:t>
            </w:r>
          </w:p>
        </w:tc>
        <w:tc>
          <w:tcPr>
            <w:tcW w:w="3489" w:type="dxa"/>
            <w:noWrap w:val="0"/>
            <w:vAlign w:val="center"/>
          </w:tcPr>
          <w:p>
            <w:pPr>
              <w:widowControl/>
              <w:snapToGrid w:val="0"/>
              <w:spacing w:line="240" w:lineRule="exact"/>
              <w:rPr>
                <w:rFonts w:hint="eastAsia" w:ascii="仿宋_GB2312" w:hAnsi="宋体" w:eastAsia="仿宋_GB2312" w:cs="宋体"/>
                <w:color w:val="auto"/>
                <w:spacing w:val="-8"/>
                <w:kern w:val="0"/>
                <w:sz w:val="18"/>
                <w:szCs w:val="18"/>
                <w:lang w:val="en-US" w:eastAsia="zh-CN" w:bidi="ar-SA"/>
              </w:rPr>
            </w:pPr>
            <w:r>
              <w:rPr>
                <w:rFonts w:hint="eastAsia" w:ascii="仿宋_GB2312" w:hAnsi="宋体" w:eastAsia="仿宋_GB2312" w:cs="宋体"/>
                <w:color w:val="auto"/>
                <w:kern w:val="0"/>
                <w:sz w:val="18"/>
                <w:szCs w:val="18"/>
              </w:rPr>
              <w:t>《工程造价咨询企业管理办法》《注册造价工程师管理办法》《住房城乡建设部办公厅关于简化工程造价咨询企业资质申报材料的通知》《河南省住房和城乡建设厅关于进一步简化工程造价咨询企业乙级资质申报审批及省外进豫执业登记事项的通知》</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lang w:val="en-US" w:eastAsia="zh-CN"/>
              </w:rPr>
              <w:t>一般</w:t>
            </w:r>
            <w:r>
              <w:rPr>
                <w:rFonts w:hint="eastAsia" w:ascii="仿宋_GB2312" w:hAnsi="宋体" w:eastAsia="仿宋_GB2312" w:cs="宋体"/>
                <w:color w:val="auto"/>
                <w:kern w:val="0"/>
                <w:sz w:val="18"/>
                <w:szCs w:val="18"/>
              </w:rPr>
              <w:t>检查事项</w:t>
            </w:r>
          </w:p>
        </w:tc>
        <w:tc>
          <w:tcPr>
            <w:tcW w:w="1046"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r>
              <w:rPr>
                <w:rFonts w:hint="eastAsia" w:ascii="仿宋_GB2312" w:hAnsi="宋体" w:eastAsia="仿宋_GB2312" w:cs="宋体"/>
                <w:color w:val="auto"/>
                <w:kern w:val="0"/>
                <w:sz w:val="18"/>
                <w:szCs w:val="18"/>
                <w:lang w:val="en-US" w:eastAsia="zh-CN"/>
              </w:rPr>
              <w:t>中</w:t>
            </w:r>
            <w:r>
              <w:rPr>
                <w:rFonts w:hint="eastAsia" w:ascii="仿宋_GB2312" w:hAnsi="宋体" w:eastAsia="仿宋_GB2312" w:cs="宋体"/>
                <w:color w:val="auto"/>
                <w:spacing w:val="-16"/>
                <w:kern w:val="0"/>
                <w:sz w:val="18"/>
                <w:szCs w:val="18"/>
              </w:rPr>
              <w:t>工程造价咨询企业</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现场检查、书面检查、网络检查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1.资质标准；2.成果文件质量。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4"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13</w:t>
            </w:r>
          </w:p>
        </w:tc>
        <w:tc>
          <w:tcPr>
            <w:tcW w:w="1937" w:type="dxa"/>
            <w:noWrap w:val="0"/>
            <w:vAlign w:val="center"/>
          </w:tcPr>
          <w:p>
            <w:pPr>
              <w:widowControl/>
              <w:snapToGrid w:val="0"/>
              <w:spacing w:line="3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工程建设强制性标准监督检查</w:t>
            </w:r>
          </w:p>
        </w:tc>
        <w:tc>
          <w:tcPr>
            <w:tcW w:w="3489" w:type="dxa"/>
            <w:noWrap w:val="0"/>
            <w:vAlign w:val="center"/>
          </w:tcPr>
          <w:p>
            <w:pPr>
              <w:widowControl/>
              <w:snapToGrid w:val="0"/>
              <w:spacing w:line="3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《实施工程建设强制性标准监督规定》</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重点检查事项</w:t>
            </w:r>
          </w:p>
        </w:tc>
        <w:tc>
          <w:tcPr>
            <w:tcW w:w="1046"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工程技术人员是否熟悉、掌握强制性标准；2.勘察、设计、施工、验收等阶段责任主体是否符合强制性标准规定；3.采用的材料、设备否符合强制性标准规定；4.安全、质量是否符合强制性标准规定；5.工程中采用的导则、指南、手册、计算机软件的内容是否符合强制性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4"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14</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建筑工程发承包计价活动检查</w:t>
            </w:r>
          </w:p>
        </w:tc>
        <w:tc>
          <w:tcPr>
            <w:tcW w:w="3489" w:type="dxa"/>
            <w:noWrap w:val="0"/>
            <w:vAlign w:val="center"/>
          </w:tcPr>
          <w:p>
            <w:pPr>
              <w:widowControl/>
              <w:snapToGrid w:val="0"/>
              <w:spacing w:line="240" w:lineRule="exact"/>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《建筑工程施工发包与承包计价管理办法》</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一般检查事项</w:t>
            </w:r>
          </w:p>
        </w:tc>
        <w:tc>
          <w:tcPr>
            <w:tcW w:w="1046"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计价行为是否符合工程量清单计价规范等。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4"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15</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建造师注册及继续教育情况</w:t>
            </w:r>
          </w:p>
        </w:tc>
        <w:tc>
          <w:tcPr>
            <w:tcW w:w="3489"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《注册建造师管理规定》</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一般检查事项</w:t>
            </w:r>
          </w:p>
        </w:tc>
        <w:tc>
          <w:tcPr>
            <w:tcW w:w="1046"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spacing w:val="-16"/>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1.注册建造师注册证书是否在有效期内;2.注册资料是否真实、合法；3.是否完成规定继续教育学时；4.是否存在挂靠行为。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4"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16</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勘察设计注册工程师注册及继续教育情况</w:t>
            </w:r>
          </w:p>
        </w:tc>
        <w:tc>
          <w:tcPr>
            <w:tcW w:w="3489"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《勘察设计注册工程师管理规定》</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一般检查事项</w:t>
            </w:r>
          </w:p>
        </w:tc>
        <w:tc>
          <w:tcPr>
            <w:tcW w:w="1046"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1.各类注册勘察设计工程师注册证书是否在有效期内;2.注册资料是否真实、合法；3.是否完成规定继续教育学时；4.是否存在挂靠行为。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4"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17</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对造价工程师证书注册、延续“挂证”</w:t>
            </w:r>
            <w:r>
              <w:rPr>
                <w:rFonts w:hint="eastAsia" w:ascii="仿宋_GB2312" w:hAnsi="宋体" w:eastAsia="仿宋_GB2312" w:cs="宋体"/>
                <w:color w:val="auto"/>
                <w:spacing w:val="-14"/>
                <w:kern w:val="0"/>
                <w:sz w:val="18"/>
                <w:szCs w:val="18"/>
              </w:rPr>
              <w:t>违法违规行为的检查</w:t>
            </w:r>
          </w:p>
        </w:tc>
        <w:tc>
          <w:tcPr>
            <w:tcW w:w="3489" w:type="dxa"/>
            <w:noWrap w:val="0"/>
            <w:vAlign w:val="center"/>
          </w:tcPr>
          <w:p>
            <w:pPr>
              <w:widowControl/>
              <w:snapToGrid w:val="0"/>
              <w:spacing w:line="240" w:lineRule="exact"/>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工程造价咨询企业管理办法》《注册造价工程师管理办法》《住房城乡建设部办公厅关于简化工程造价咨询企业资质申报材料的通知》《河南省住房和城乡建设厅关于进一步简化工程造价咨询企业乙级资质申报审批及省外进豫执业登记事项的通知》</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lang w:val="en-US" w:eastAsia="zh-CN"/>
              </w:rPr>
              <w:t>一般</w:t>
            </w:r>
            <w:r>
              <w:rPr>
                <w:rFonts w:hint="eastAsia" w:ascii="仿宋_GB2312" w:hAnsi="宋体" w:eastAsia="仿宋_GB2312" w:cs="宋体"/>
                <w:color w:val="auto"/>
                <w:kern w:val="0"/>
                <w:sz w:val="18"/>
                <w:szCs w:val="18"/>
              </w:rPr>
              <w:t>检查事项</w:t>
            </w:r>
          </w:p>
        </w:tc>
        <w:tc>
          <w:tcPr>
            <w:tcW w:w="1046"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r>
              <w:rPr>
                <w:rFonts w:hint="eastAsia" w:ascii="仿宋_GB2312" w:hAnsi="宋体" w:eastAsia="仿宋_GB2312" w:cs="宋体"/>
                <w:color w:val="auto"/>
                <w:kern w:val="0"/>
                <w:sz w:val="18"/>
                <w:szCs w:val="18"/>
                <w:lang w:val="en-US" w:eastAsia="zh-CN"/>
              </w:rPr>
              <w:t>中</w:t>
            </w:r>
            <w:r>
              <w:rPr>
                <w:rFonts w:hint="eastAsia" w:ascii="仿宋_GB2312" w:hAnsi="宋体" w:eastAsia="仿宋_GB2312" w:cs="宋体"/>
                <w:color w:val="auto"/>
                <w:kern w:val="0"/>
                <w:sz w:val="18"/>
                <w:szCs w:val="18"/>
              </w:rPr>
              <w:t>造价工程师</w:t>
            </w:r>
          </w:p>
        </w:tc>
        <w:tc>
          <w:tcPr>
            <w:tcW w:w="1185" w:type="dxa"/>
            <w:noWrap w:val="0"/>
            <w:vAlign w:val="center"/>
          </w:tcPr>
          <w:p>
            <w:pPr>
              <w:widowControl/>
              <w:snapToGrid w:val="0"/>
              <w:spacing w:line="240" w:lineRule="exact"/>
              <w:ind w:left="0" w:leftChars="0" w:firstLine="0" w:firstLineChars="0"/>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现场检查、书面检查、网络检查</w:t>
            </w:r>
          </w:p>
        </w:tc>
        <w:tc>
          <w:tcPr>
            <w:tcW w:w="3593" w:type="dxa"/>
            <w:noWrap w:val="0"/>
            <w:vAlign w:val="center"/>
          </w:tcPr>
          <w:p>
            <w:pPr>
              <w:widowControl/>
              <w:snapToGrid w:val="0"/>
              <w:spacing w:line="240" w:lineRule="exact"/>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1.注册造价工程师注册证书是否在有效期内;2.注册资料是否真实、合法；3.是否完成规定继续教育学时；4.是否存在挂靠行为。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2"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18</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注册建筑师注册及继续教育情况</w:t>
            </w:r>
          </w:p>
        </w:tc>
        <w:tc>
          <w:tcPr>
            <w:tcW w:w="3489"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《注册建筑师条例》</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lang w:val="en-US" w:eastAsia="zh-CN"/>
              </w:rPr>
              <w:t>一般</w:t>
            </w:r>
            <w:r>
              <w:rPr>
                <w:rFonts w:hint="eastAsia" w:ascii="仿宋_GB2312" w:hAnsi="宋体" w:eastAsia="仿宋_GB2312" w:cs="宋体"/>
                <w:color w:val="auto"/>
                <w:kern w:val="0"/>
                <w:sz w:val="18"/>
                <w:szCs w:val="18"/>
              </w:rPr>
              <w:t>检查事项</w:t>
            </w:r>
          </w:p>
        </w:tc>
        <w:tc>
          <w:tcPr>
            <w:tcW w:w="1046"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napToGrid w:val="0"/>
              <w:spacing w:line="240" w:lineRule="exact"/>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1.注册建筑师注册证书是否在有效期内;2.注册资料是否真实、合法；3.是否完成规定继续教育学时；4.是否存在挂靠行为。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92"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19</w:t>
            </w:r>
          </w:p>
        </w:tc>
        <w:tc>
          <w:tcPr>
            <w:tcW w:w="1937"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注册监理工程师注册及继续教育情况</w:t>
            </w:r>
          </w:p>
        </w:tc>
        <w:tc>
          <w:tcPr>
            <w:tcW w:w="3489" w:type="dxa"/>
            <w:noWrap w:val="0"/>
            <w:vAlign w:val="center"/>
          </w:tcPr>
          <w:p>
            <w:pPr>
              <w:widowControl/>
              <w:snapToGrid w:val="0"/>
              <w:spacing w:line="240" w:lineRule="exact"/>
              <w:jc w:val="center"/>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《注册监理工程师管理规定》</w:t>
            </w:r>
          </w:p>
        </w:tc>
        <w:tc>
          <w:tcPr>
            <w:tcW w:w="897"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一般检查事项</w:t>
            </w:r>
          </w:p>
        </w:tc>
        <w:tc>
          <w:tcPr>
            <w:tcW w:w="1046"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bidi="ar-SA"/>
              </w:rPr>
            </w:pPr>
            <w:r>
              <w:rPr>
                <w:rFonts w:hint="eastAsia" w:ascii="仿宋_GB2312" w:hAnsi="宋体" w:eastAsia="仿宋_GB2312" w:cs="宋体"/>
                <w:color w:val="auto"/>
                <w:kern w:val="0"/>
                <w:sz w:val="18"/>
                <w:szCs w:val="18"/>
              </w:rPr>
              <w:t>房屋建筑工程</w:t>
            </w:r>
          </w:p>
        </w:tc>
        <w:tc>
          <w:tcPr>
            <w:tcW w:w="1185" w:type="dxa"/>
            <w:noWrap w:val="0"/>
            <w:vAlign w:val="center"/>
          </w:tcPr>
          <w:p>
            <w:pPr>
              <w:widowControl/>
              <w:snapToGrid w:val="0"/>
              <w:spacing w:line="240" w:lineRule="exact"/>
              <w:ind w:left="0" w:leftChars="0" w:firstLine="0" w:firstLineChars="0"/>
              <w:jc w:val="both"/>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napToGrid w:val="0"/>
              <w:spacing w:line="240" w:lineRule="exact"/>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1.注册监理工程师注册证书是否在有效期内;2.注册资料是否真实、合法；3.是否完成规定继续教育学时；4.是否存在挂靠行为。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27" w:hRule="atLeast"/>
        </w:trPr>
        <w:tc>
          <w:tcPr>
            <w:tcW w:w="521" w:type="dxa"/>
            <w:noWrap w:val="0"/>
            <w:vAlign w:val="center"/>
          </w:tcPr>
          <w:p>
            <w:pPr>
              <w:widowControl/>
              <w:tabs>
                <w:tab w:val="left" w:pos="219"/>
              </w:tabs>
              <w:snapToGrid w:val="0"/>
              <w:spacing w:line="340" w:lineRule="exact"/>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20</w:t>
            </w:r>
          </w:p>
        </w:tc>
        <w:tc>
          <w:tcPr>
            <w:tcW w:w="1937" w:type="dxa"/>
            <w:noWrap w:val="0"/>
            <w:vAlign w:val="center"/>
          </w:tcPr>
          <w:p>
            <w:pPr>
              <w:widowControl/>
              <w:spacing w:line="240" w:lineRule="exact"/>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对燃气企业的燃气经营活动、燃气使用的安全状况、服务情况、安全管理等的监督检查</w:t>
            </w:r>
          </w:p>
        </w:tc>
        <w:tc>
          <w:tcPr>
            <w:tcW w:w="3489" w:type="dxa"/>
            <w:noWrap w:val="0"/>
            <w:vAlign w:val="center"/>
          </w:tcPr>
          <w:p>
            <w:pPr>
              <w:widowControl/>
              <w:spacing w:line="240" w:lineRule="exact"/>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《城镇燃气管理条例》、《河南省城镇燃气管理办法》</w:t>
            </w:r>
          </w:p>
        </w:tc>
        <w:tc>
          <w:tcPr>
            <w:tcW w:w="897" w:type="dxa"/>
            <w:noWrap w:val="0"/>
            <w:vAlign w:val="center"/>
          </w:tcPr>
          <w:p>
            <w:pPr>
              <w:widowControl/>
              <w:spacing w:line="240" w:lineRule="exact"/>
              <w:jc w:val="center"/>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一般检查事项</w:t>
            </w:r>
          </w:p>
        </w:tc>
        <w:tc>
          <w:tcPr>
            <w:tcW w:w="1046" w:type="dxa"/>
            <w:noWrap w:val="0"/>
            <w:vAlign w:val="center"/>
          </w:tcPr>
          <w:p>
            <w:pPr>
              <w:widowControl/>
              <w:spacing w:line="240" w:lineRule="exact"/>
              <w:jc w:val="center"/>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燃气经营企业</w:t>
            </w:r>
          </w:p>
        </w:tc>
        <w:tc>
          <w:tcPr>
            <w:tcW w:w="1185" w:type="dxa"/>
            <w:noWrap w:val="0"/>
            <w:vAlign w:val="center"/>
          </w:tcPr>
          <w:p>
            <w:pPr>
              <w:widowControl/>
              <w:spacing w:line="240" w:lineRule="exact"/>
              <w:jc w:val="center"/>
              <w:textAlignment w:val="center"/>
              <w:rPr>
                <w:rFonts w:hint="eastAsia" w:ascii="仿宋" w:hAnsi="仿宋" w:eastAsia="仿宋" w:cs="仿宋"/>
                <w:kern w:val="2"/>
                <w:sz w:val="18"/>
                <w:szCs w:val="18"/>
                <w:lang w:val="en-US" w:eastAsia="zh-CN" w:bidi="ar-SA"/>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pacing w:line="240" w:lineRule="exact"/>
              <w:jc w:val="center"/>
              <w:textAlignment w:val="center"/>
              <w:rPr>
                <w:rFonts w:hint="eastAsia" w:ascii="仿宋" w:hAnsi="仿宋" w:eastAsia="仿宋" w:cs="仿宋"/>
                <w:kern w:val="2"/>
                <w:sz w:val="18"/>
                <w:szCs w:val="18"/>
                <w:lang w:val="en-US" w:eastAsia="zh-CN" w:bidi="ar-SA"/>
              </w:rPr>
            </w:pPr>
            <w:r>
              <w:rPr>
                <w:rFonts w:hint="eastAsia" w:ascii="仿宋_GB2312" w:hAnsi="宋体" w:eastAsia="仿宋_GB2312" w:cs="宋体"/>
                <w:color w:val="auto"/>
                <w:kern w:val="0"/>
                <w:sz w:val="18"/>
                <w:szCs w:val="18"/>
                <w:lang w:val="en-US" w:eastAsia="zh-CN"/>
              </w:rPr>
              <w:t>1.燃气企业的安全运营、设施设备、人员培训持证上岗等综合检查；2.燃气企业经营许可证是否到期未检、从业人员资格证是否过期；3.燃气企业在经营是否存在企业分立、合并、中止经营或者变更经营许可证载明内容的；4.燃气设施是否改动、是否制定改动方案、是否有必要的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3"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21</w:t>
            </w:r>
          </w:p>
        </w:tc>
        <w:tc>
          <w:tcPr>
            <w:tcW w:w="1937" w:type="dxa"/>
            <w:noWrap w:val="0"/>
            <w:vAlign w:val="center"/>
          </w:tcPr>
          <w:p>
            <w:pPr>
              <w:widowControl/>
              <w:spacing w:line="240" w:lineRule="exact"/>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对城市供水水质的监督检查</w:t>
            </w:r>
          </w:p>
        </w:tc>
        <w:tc>
          <w:tcPr>
            <w:tcW w:w="3489" w:type="dxa"/>
            <w:noWrap w:val="0"/>
            <w:vAlign w:val="center"/>
          </w:tcPr>
          <w:p>
            <w:pPr>
              <w:widowControl/>
              <w:spacing w:line="240" w:lineRule="exact"/>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《城市供水水质管理规定》、《河南省城市供水管理办法》</w:t>
            </w:r>
          </w:p>
        </w:tc>
        <w:tc>
          <w:tcPr>
            <w:tcW w:w="897" w:type="dxa"/>
            <w:noWrap w:val="0"/>
            <w:vAlign w:val="center"/>
          </w:tcPr>
          <w:p>
            <w:pPr>
              <w:widowControl/>
              <w:spacing w:line="240" w:lineRule="exact"/>
              <w:ind w:left="0" w:leftChars="0" w:firstLine="0" w:firstLineChars="0"/>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一般检查事项</w:t>
            </w:r>
          </w:p>
        </w:tc>
        <w:tc>
          <w:tcPr>
            <w:tcW w:w="1046" w:type="dxa"/>
            <w:noWrap w:val="0"/>
            <w:vAlign w:val="center"/>
          </w:tcPr>
          <w:p>
            <w:pPr>
              <w:widowControl/>
              <w:spacing w:line="240" w:lineRule="exact"/>
              <w:ind w:left="0" w:leftChars="0" w:firstLine="0" w:firstLineChars="0"/>
              <w:jc w:val="both"/>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0"/>
                <w:sz w:val="18"/>
                <w:szCs w:val="18"/>
              </w:rPr>
              <w:t>市区供水企业</w:t>
            </w:r>
          </w:p>
        </w:tc>
        <w:tc>
          <w:tcPr>
            <w:tcW w:w="1185" w:type="dxa"/>
            <w:noWrap w:val="0"/>
            <w:vAlign w:val="center"/>
          </w:tcPr>
          <w:p>
            <w:pPr>
              <w:widowControl/>
              <w:spacing w:line="240" w:lineRule="exact"/>
              <w:ind w:left="0" w:leftChars="0" w:firstLine="0" w:firstLineChars="0"/>
              <w:jc w:val="both"/>
              <w:textAlignment w:val="center"/>
              <w:rPr>
                <w:rFonts w:hint="eastAsia" w:ascii="仿宋" w:hAnsi="仿宋" w:eastAsia="仿宋" w:cs="仿宋"/>
                <w:kern w:val="2"/>
                <w:sz w:val="18"/>
                <w:szCs w:val="18"/>
                <w:lang w:val="en-US" w:eastAsia="zh-CN" w:bidi="ar-SA"/>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pacing w:line="240" w:lineRule="exact"/>
              <w:jc w:val="center"/>
              <w:textAlignment w:val="center"/>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企业实验室建设及管理情况、供水水质在线监测情况、企业水质信息上报和公开制度落实情况、水质自检及水质监管体系落实情况、水质106项指标检测情况、水厂运行情况、水源地保护及应急管理机制建立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4" w:hRule="atLeast"/>
        </w:trPr>
        <w:tc>
          <w:tcPr>
            <w:tcW w:w="521" w:type="dxa"/>
            <w:noWrap w:val="0"/>
            <w:vAlign w:val="center"/>
          </w:tcPr>
          <w:p>
            <w:pPr>
              <w:widowControl/>
              <w:spacing w:line="240" w:lineRule="exact"/>
              <w:ind w:left="0" w:leftChars="0" w:firstLine="0" w:firstLineChars="0"/>
              <w:jc w:val="center"/>
              <w:textAlignment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22</w:t>
            </w:r>
          </w:p>
        </w:tc>
        <w:tc>
          <w:tcPr>
            <w:tcW w:w="1937" w:type="dxa"/>
            <w:noWrap w:val="0"/>
            <w:vAlign w:val="center"/>
          </w:tcPr>
          <w:p>
            <w:pPr>
              <w:widowControl/>
              <w:spacing w:line="240" w:lineRule="exact"/>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对集中供热经营企业的监管</w:t>
            </w:r>
          </w:p>
        </w:tc>
        <w:tc>
          <w:tcPr>
            <w:tcW w:w="3489" w:type="dxa"/>
            <w:noWrap w:val="0"/>
            <w:vAlign w:val="center"/>
          </w:tcPr>
          <w:p>
            <w:pPr>
              <w:widowControl/>
              <w:spacing w:line="240" w:lineRule="exact"/>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《河南省集中供热管理试行办法》</w:t>
            </w:r>
          </w:p>
        </w:tc>
        <w:tc>
          <w:tcPr>
            <w:tcW w:w="897" w:type="dxa"/>
            <w:noWrap w:val="0"/>
            <w:vAlign w:val="center"/>
          </w:tcPr>
          <w:p>
            <w:pPr>
              <w:widowControl/>
              <w:spacing w:line="240" w:lineRule="exact"/>
              <w:ind w:left="0" w:leftChars="0" w:firstLine="0" w:firstLineChars="0"/>
              <w:jc w:val="left"/>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一般检查事项</w:t>
            </w:r>
          </w:p>
        </w:tc>
        <w:tc>
          <w:tcPr>
            <w:tcW w:w="1046" w:type="dxa"/>
            <w:noWrap w:val="0"/>
            <w:vAlign w:val="center"/>
          </w:tcPr>
          <w:p>
            <w:pPr>
              <w:widowControl/>
              <w:spacing w:line="240" w:lineRule="exact"/>
              <w:ind w:left="0" w:leftChars="0" w:firstLine="0" w:firstLineChars="0"/>
              <w:jc w:val="both"/>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热经营企业</w:t>
            </w:r>
          </w:p>
        </w:tc>
        <w:tc>
          <w:tcPr>
            <w:tcW w:w="1185" w:type="dxa"/>
            <w:noWrap w:val="0"/>
            <w:vAlign w:val="center"/>
          </w:tcPr>
          <w:p>
            <w:pPr>
              <w:widowControl/>
              <w:spacing w:line="240" w:lineRule="exact"/>
              <w:ind w:left="0" w:leftChars="0" w:firstLine="0" w:firstLineChars="0"/>
              <w:textAlignment w:val="center"/>
              <w:rPr>
                <w:rFonts w:hint="eastAsia" w:ascii="仿宋" w:hAnsi="仿宋" w:eastAsia="仿宋" w:cs="仿宋"/>
                <w:kern w:val="0"/>
                <w:sz w:val="18"/>
                <w:szCs w:val="18"/>
                <w:lang w:val="en-US" w:eastAsia="zh-CN"/>
              </w:rPr>
            </w:pPr>
            <w:r>
              <w:rPr>
                <w:rFonts w:hint="eastAsia" w:ascii="仿宋_GB2312" w:hAnsi="宋体" w:eastAsia="仿宋_GB2312" w:cs="宋体"/>
                <w:color w:val="auto"/>
                <w:kern w:val="0"/>
                <w:sz w:val="18"/>
                <w:szCs w:val="18"/>
              </w:rPr>
              <w:t>现场检查、书面检查</w:t>
            </w:r>
          </w:p>
        </w:tc>
        <w:tc>
          <w:tcPr>
            <w:tcW w:w="3593" w:type="dxa"/>
            <w:noWrap w:val="0"/>
            <w:vAlign w:val="center"/>
          </w:tcPr>
          <w:p>
            <w:pPr>
              <w:widowControl/>
              <w:spacing w:line="240" w:lineRule="exact"/>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对热经营企业的服务承诺制度、设备设施、安全生产等进行综合检查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6" w:hRule="atLeast"/>
        </w:trPr>
        <w:tc>
          <w:tcPr>
            <w:tcW w:w="521" w:type="dxa"/>
            <w:noWrap w:val="0"/>
            <w:vAlign w:val="center"/>
          </w:tcPr>
          <w:p>
            <w:pPr>
              <w:widowControl/>
              <w:snapToGrid w:val="0"/>
              <w:spacing w:line="340" w:lineRule="exact"/>
              <w:ind w:left="0" w:leftChars="0" w:firstLine="0" w:firstLineChars="0"/>
              <w:jc w:val="center"/>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23</w:t>
            </w:r>
          </w:p>
        </w:tc>
        <w:tc>
          <w:tcPr>
            <w:tcW w:w="1937" w:type="dxa"/>
            <w:noWrap w:val="0"/>
            <w:vAlign w:val="center"/>
          </w:tcPr>
          <w:p>
            <w:pPr>
              <w:widowControl/>
              <w:spacing w:line="240" w:lineRule="exact"/>
              <w:textAlignment w:val="center"/>
              <w:rPr>
                <w:rFonts w:hint="default"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对城镇排水和污水处理设施运行维护和保护情况的监督检查</w:t>
            </w:r>
          </w:p>
        </w:tc>
        <w:tc>
          <w:tcPr>
            <w:tcW w:w="3489" w:type="dxa"/>
            <w:noWrap w:val="0"/>
            <w:vAlign w:val="center"/>
          </w:tcPr>
          <w:p>
            <w:pPr>
              <w:widowControl/>
              <w:spacing w:line="240" w:lineRule="exact"/>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 xml:space="preserve">  《城镇排水与污水处理条例》</w:t>
            </w:r>
          </w:p>
        </w:tc>
        <w:tc>
          <w:tcPr>
            <w:tcW w:w="897" w:type="dxa"/>
            <w:noWrap w:val="0"/>
            <w:vAlign w:val="center"/>
          </w:tcPr>
          <w:p>
            <w:pPr>
              <w:widowControl/>
              <w:spacing w:line="240" w:lineRule="exact"/>
              <w:ind w:left="0" w:leftChars="0" w:firstLine="0" w:firstLineChars="0"/>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一般检查事项</w:t>
            </w:r>
          </w:p>
        </w:tc>
        <w:tc>
          <w:tcPr>
            <w:tcW w:w="1046" w:type="dxa"/>
            <w:noWrap w:val="0"/>
            <w:vAlign w:val="center"/>
          </w:tcPr>
          <w:p>
            <w:pPr>
              <w:widowControl/>
              <w:spacing w:line="240" w:lineRule="exact"/>
              <w:ind w:left="0" w:leftChars="0" w:firstLine="0" w:firstLineChars="0"/>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城镇排水与污水处理设施维护运营单位</w:t>
            </w:r>
          </w:p>
        </w:tc>
        <w:tc>
          <w:tcPr>
            <w:tcW w:w="1185" w:type="dxa"/>
            <w:noWrap w:val="0"/>
            <w:vAlign w:val="center"/>
          </w:tcPr>
          <w:p>
            <w:pPr>
              <w:widowControl/>
              <w:spacing w:line="240" w:lineRule="exact"/>
              <w:ind w:left="0" w:leftChars="0" w:firstLine="0" w:firstLineChars="0"/>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现场检查</w:t>
            </w:r>
          </w:p>
        </w:tc>
        <w:tc>
          <w:tcPr>
            <w:tcW w:w="3593" w:type="dxa"/>
            <w:noWrap w:val="0"/>
            <w:vAlign w:val="center"/>
          </w:tcPr>
          <w:p>
            <w:pPr>
              <w:widowControl/>
              <w:snapToGrid w:val="0"/>
              <w:spacing w:line="240" w:lineRule="exact"/>
              <w:rPr>
                <w:rFonts w:hint="default"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1.是否符合《河南省城镇污水处理运行绩效考核标准（暂行）》和《城镇污水处理工作考核暂行办法》及相关规范、规定；2.上年度检查中指出问题的整改落实情况</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文星标宋">
    <w:altName w:val="方正书宋_GBK"/>
    <w:panose1 w:val="0201060400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24F11"/>
    <w:rsid w:val="37324F11"/>
    <w:rsid w:val="560C66F2"/>
    <w:rsid w:val="F6FF10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Times New Roman" w:cs="Times New Roma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2022-02-24T09:49:00Z</dcterms:created>
  <dc:creator>hp1</dc:creator>
  <cp:lastModifiedBy>uos</cp:lastModifiedBy>
  <dcterms:modified xsi:type="dcterms:W3CDTF">2022-03-02T11:24:49Z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3D4017E0F9664158B4B71CAD8717296E</vt:lpwstr>
  </property>
</Properties>
</file>