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eastAsia="宋体" w:cs="宋体"/>
          <w:b/>
          <w:bCs/>
          <w:sz w:val="32"/>
          <w:szCs w:val="32"/>
          <w:lang w:eastAsia="zh-CN"/>
        </w:rPr>
      </w:pPr>
      <w:r>
        <w:rPr>
          <w:rFonts w:hint="eastAsia" w:ascii="宋体" w:hAnsi="宋体" w:eastAsia="宋体" w:cs="宋体"/>
          <w:b/>
          <w:bCs/>
          <w:sz w:val="32"/>
          <w:szCs w:val="32"/>
        </w:rPr>
        <w:t>夏邑县应急局行政相对人违法风险点及防控措施</w:t>
      </w:r>
      <w:r>
        <w:rPr>
          <w:rFonts w:hint="eastAsia" w:ascii="宋体" w:hAnsi="宋体" w:eastAsia="宋体" w:cs="宋体"/>
          <w:b/>
          <w:bCs/>
          <w:sz w:val="32"/>
          <w:szCs w:val="32"/>
          <w:lang w:eastAsia="zh-CN"/>
        </w:rPr>
        <w:t>（</w:t>
      </w:r>
      <w:r>
        <w:rPr>
          <w:rFonts w:hint="eastAsia" w:ascii="宋体" w:hAnsi="宋体" w:eastAsia="宋体" w:cs="宋体"/>
          <w:b/>
          <w:bCs/>
          <w:sz w:val="32"/>
          <w:szCs w:val="32"/>
          <w:lang w:val="en-US" w:eastAsia="zh-CN"/>
        </w:rPr>
        <w:t>第一批</w:t>
      </w:r>
      <w:r>
        <w:rPr>
          <w:rFonts w:hint="eastAsia" w:ascii="宋体" w:hAnsi="宋体" w:eastAsia="宋体" w:cs="宋体"/>
          <w:b/>
          <w:bCs/>
          <w:sz w:val="32"/>
          <w:szCs w:val="32"/>
          <w:lang w:eastAsia="zh-CN"/>
        </w:rPr>
        <w:t>）</w:t>
      </w:r>
    </w:p>
    <w:tbl>
      <w:tblPr>
        <w:tblStyle w:val="3"/>
        <w:tblW w:w="113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80"/>
        <w:gridCol w:w="1548"/>
        <w:gridCol w:w="1320"/>
        <w:gridCol w:w="576"/>
        <w:gridCol w:w="2796"/>
        <w:gridCol w:w="1068"/>
        <w:gridCol w:w="1344"/>
        <w:gridCol w:w="1092"/>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70" w:hRule="atLeast"/>
          <w:jc w:val="center"/>
        </w:trPr>
        <w:tc>
          <w:tcPr>
            <w:tcW w:w="480" w:type="dxa"/>
          </w:tcPr>
          <w:p>
            <w:pPr>
              <w:jc w:val="center"/>
              <w:rPr>
                <w:rFonts w:hint="default"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序号</w:t>
            </w:r>
          </w:p>
        </w:tc>
        <w:tc>
          <w:tcPr>
            <w:tcW w:w="1548" w:type="dxa"/>
            <w:vAlign w:val="center"/>
          </w:tcPr>
          <w:p>
            <w:pPr>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行政相对人</w:t>
            </w:r>
          </w:p>
        </w:tc>
        <w:tc>
          <w:tcPr>
            <w:tcW w:w="1320" w:type="dxa"/>
            <w:vAlign w:val="center"/>
          </w:tcPr>
          <w:p>
            <w:pPr>
              <w:jc w:val="center"/>
              <w:rPr>
                <w:rFonts w:hint="default" w:ascii="宋体" w:hAnsi="宋体" w:eastAsia="宋体" w:cs="宋体"/>
                <w:b/>
                <w:bCs/>
                <w:sz w:val="21"/>
                <w:szCs w:val="21"/>
                <w:vertAlign w:val="baseline"/>
                <w:lang w:val="en-US" w:eastAsia="zh-CN"/>
              </w:rPr>
            </w:pPr>
            <w:r>
              <w:rPr>
                <w:rFonts w:hint="eastAsia" w:ascii="宋体" w:hAnsi="宋体" w:eastAsia="宋体" w:cs="宋体"/>
                <w:b/>
                <w:bCs/>
                <w:sz w:val="22"/>
                <w:szCs w:val="22"/>
                <w:vertAlign w:val="baseline"/>
                <w:lang w:val="en-US" w:eastAsia="zh-CN"/>
              </w:rPr>
              <w:t>违法风险点</w:t>
            </w:r>
          </w:p>
        </w:tc>
        <w:tc>
          <w:tcPr>
            <w:tcW w:w="576" w:type="dxa"/>
            <w:vAlign w:val="center"/>
          </w:tcPr>
          <w:p>
            <w:pPr>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风险等级</w:t>
            </w:r>
          </w:p>
        </w:tc>
        <w:tc>
          <w:tcPr>
            <w:tcW w:w="2796" w:type="dxa"/>
            <w:vAlign w:val="center"/>
          </w:tcPr>
          <w:p>
            <w:pPr>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法律依据</w:t>
            </w:r>
          </w:p>
        </w:tc>
        <w:tc>
          <w:tcPr>
            <w:tcW w:w="1068" w:type="dxa"/>
            <w:vAlign w:val="center"/>
          </w:tcPr>
          <w:p>
            <w:pPr>
              <w:jc w:val="center"/>
              <w:rPr>
                <w:rFonts w:hint="default"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裁量标准</w:t>
            </w:r>
          </w:p>
        </w:tc>
        <w:tc>
          <w:tcPr>
            <w:tcW w:w="1344" w:type="dxa"/>
            <w:vAlign w:val="center"/>
          </w:tcPr>
          <w:p>
            <w:pPr>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产生原因</w:t>
            </w:r>
          </w:p>
        </w:tc>
        <w:tc>
          <w:tcPr>
            <w:tcW w:w="1092" w:type="dxa"/>
            <w:vAlign w:val="center"/>
          </w:tcPr>
          <w:p>
            <w:pPr>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防控措施</w:t>
            </w:r>
          </w:p>
        </w:tc>
        <w:tc>
          <w:tcPr>
            <w:tcW w:w="1116" w:type="dxa"/>
            <w:vAlign w:val="center"/>
          </w:tcPr>
          <w:p>
            <w:pPr>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572" w:hRule="atLeast"/>
          <w:jc w:val="center"/>
        </w:trPr>
        <w:tc>
          <w:tcPr>
            <w:tcW w:w="480" w:type="dxa"/>
            <w:vAlign w:val="center"/>
          </w:tcPr>
          <w:p>
            <w:pPr>
              <w:jc w:val="center"/>
              <w:rPr>
                <w:rFonts w:hint="default"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1</w:t>
            </w:r>
          </w:p>
        </w:tc>
        <w:tc>
          <w:tcPr>
            <w:tcW w:w="1548" w:type="dxa"/>
            <w:vAlign w:val="center"/>
          </w:tcPr>
          <w:p>
            <w:pPr>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生产经营单位</w:t>
            </w:r>
          </w:p>
        </w:tc>
        <w:tc>
          <w:tcPr>
            <w:tcW w:w="1320" w:type="dxa"/>
            <w:vAlign w:val="center"/>
          </w:tcPr>
          <w:p>
            <w:pPr>
              <w:jc w:val="left"/>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未在有较大危险因素的生产经营场所和有关设施、设备上设置明显的安全警示标的</w:t>
            </w:r>
          </w:p>
        </w:tc>
        <w:tc>
          <w:tcPr>
            <w:tcW w:w="576" w:type="dxa"/>
            <w:vAlign w:val="center"/>
          </w:tcPr>
          <w:p>
            <w:pPr>
              <w:jc w:val="center"/>
              <w:rPr>
                <w:rFonts w:hint="default"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低</w:t>
            </w:r>
          </w:p>
        </w:tc>
        <w:tc>
          <w:tcPr>
            <w:tcW w:w="2796" w:type="dxa"/>
          </w:tcPr>
          <w:p>
            <w:pPr>
              <w:jc w:val="left"/>
              <w:rPr>
                <w:rFonts w:hint="default"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《安全生产法》第九十六条第一项 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据:构成犯罪的。依照刑法有关规定追究刑事任；</w:t>
            </w:r>
          </w:p>
          <w:p>
            <w:pPr>
              <w:jc w:val="left"/>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(一)未在有较大危险因素的生产经营场所和有关设施，设备上设置明显的安全警示标击的；</w:t>
            </w:r>
          </w:p>
        </w:tc>
        <w:tc>
          <w:tcPr>
            <w:tcW w:w="1068" w:type="dxa"/>
            <w:vAlign w:val="center"/>
          </w:tcPr>
          <w:p>
            <w:pPr>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河南省应急管理厅关于印发《&lt;安全生产法&gt;及地方性法规规章相关行政处罚自由裁量基准(试行)》的通知(豫应急(2020)162号)</w:t>
            </w:r>
          </w:p>
        </w:tc>
        <w:tc>
          <w:tcPr>
            <w:tcW w:w="1344" w:type="dxa"/>
            <w:vAlign w:val="center"/>
          </w:tcPr>
          <w:p>
            <w:pPr>
              <w:jc w:val="left"/>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1.生产经营单位重生产轻安全，重效益、轻管理，安全生产主体责任落实不到位。2.对安全警示标志的作同认识不到位</w:t>
            </w:r>
          </w:p>
        </w:tc>
        <w:tc>
          <w:tcPr>
            <w:tcW w:w="1092" w:type="dxa"/>
            <w:vAlign w:val="center"/>
          </w:tcPr>
          <w:p>
            <w:pPr>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1.构建双重预防体系2.加强监督监管</w:t>
            </w:r>
          </w:p>
          <w:p>
            <w:pPr>
              <w:jc w:val="left"/>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3.定期进行隐患排查和理，及时消除事故隐患4、强化警示标志指示的宣传教育</w:t>
            </w:r>
          </w:p>
          <w:p>
            <w:pPr>
              <w:jc w:val="center"/>
              <w:rPr>
                <w:rFonts w:hint="eastAsia" w:ascii="宋体" w:hAnsi="宋体" w:eastAsia="宋体" w:cs="宋体"/>
                <w:b/>
                <w:bCs/>
                <w:sz w:val="21"/>
                <w:szCs w:val="21"/>
                <w:vertAlign w:val="baseline"/>
                <w:lang w:val="en-US" w:eastAsia="zh-CN"/>
              </w:rPr>
            </w:pPr>
          </w:p>
        </w:tc>
        <w:tc>
          <w:tcPr>
            <w:tcW w:w="1116" w:type="dxa"/>
            <w:vAlign w:val="center"/>
          </w:tcPr>
          <w:p>
            <w:pPr>
              <w:jc w:val="left"/>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生产经营单位，应急管理部门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752" w:hRule="atLeast"/>
          <w:jc w:val="center"/>
        </w:trPr>
        <w:tc>
          <w:tcPr>
            <w:tcW w:w="480" w:type="dxa"/>
            <w:vAlign w:val="center"/>
          </w:tcPr>
          <w:p>
            <w:pPr>
              <w:jc w:val="center"/>
              <w:rPr>
                <w:rFonts w:hint="default"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2</w:t>
            </w:r>
          </w:p>
        </w:tc>
        <w:tc>
          <w:tcPr>
            <w:tcW w:w="1548" w:type="dxa"/>
            <w:vAlign w:val="center"/>
          </w:tcPr>
          <w:p>
            <w:pPr>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生产经营单位</w:t>
            </w:r>
          </w:p>
        </w:tc>
        <w:tc>
          <w:tcPr>
            <w:tcW w:w="1320" w:type="dxa"/>
            <w:vAlign w:val="center"/>
          </w:tcPr>
          <w:p>
            <w:pPr>
              <w:jc w:val="left"/>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未按照规定设置安全生产机构或安全生产管理人员的;</w:t>
            </w:r>
          </w:p>
        </w:tc>
        <w:tc>
          <w:tcPr>
            <w:tcW w:w="576" w:type="dxa"/>
            <w:vAlign w:val="center"/>
          </w:tcPr>
          <w:p>
            <w:pPr>
              <w:jc w:val="center"/>
              <w:rPr>
                <w:rFonts w:hint="default"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中</w:t>
            </w:r>
          </w:p>
        </w:tc>
        <w:tc>
          <w:tcPr>
            <w:tcW w:w="2796" w:type="dxa"/>
            <w:vAlign w:val="center"/>
          </w:tcPr>
          <w:p>
            <w:pPr>
              <w:jc w:val="left"/>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《安全生产法》第九十四条第一项 生产经营单位有下列行为之一的，责令限期改正，可以处五万元以下的罚款:逾期未改正的，责令停产亭业整顿，并处五万元以上十万元以下的罚款，对其直接负责的主管人员和其他直接责任人员处一万元以上二万元以下的罚款:</w:t>
            </w:r>
          </w:p>
          <w:p>
            <w:pPr>
              <w:jc w:val="left"/>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（一)未按照规定设置安全生产管理机构或者配备安全生产管理人员的:</w:t>
            </w:r>
          </w:p>
        </w:tc>
        <w:tc>
          <w:tcPr>
            <w:tcW w:w="1068" w:type="dxa"/>
            <w:vAlign w:val="center"/>
          </w:tcPr>
          <w:p>
            <w:pPr>
              <w:jc w:val="center"/>
              <w:rPr>
                <w:rFonts w:hint="default"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河南省应急管理厅关于印发《&lt;安全生产法&gt;及地方性法规规章相关行政处罚自由裁量基准(试行) 》的通知(豫应急（2020）162号)</w:t>
            </w:r>
          </w:p>
        </w:tc>
        <w:tc>
          <w:tcPr>
            <w:tcW w:w="1344" w:type="dxa"/>
            <w:vAlign w:val="center"/>
          </w:tcPr>
          <w:p>
            <w:pPr>
              <w:jc w:val="left"/>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生产经营单位安全生产意识淡薄，未认真履行安全生产法律法规规定的安全生产管理职责</w:t>
            </w:r>
          </w:p>
        </w:tc>
        <w:tc>
          <w:tcPr>
            <w:tcW w:w="1092" w:type="dxa"/>
            <w:vAlign w:val="center"/>
          </w:tcPr>
          <w:p>
            <w:pPr>
              <w:jc w:val="left"/>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1、构建双重预防体系2、加强监督监管3、健全安生产责任制4、强化教育培训</w:t>
            </w:r>
          </w:p>
          <w:p>
            <w:pPr>
              <w:jc w:val="center"/>
              <w:rPr>
                <w:rFonts w:hint="eastAsia" w:ascii="宋体" w:hAnsi="宋体" w:eastAsia="宋体" w:cs="宋体"/>
                <w:b/>
                <w:bCs/>
                <w:sz w:val="21"/>
                <w:szCs w:val="21"/>
                <w:vertAlign w:val="baseline"/>
                <w:lang w:val="en-US" w:eastAsia="zh-CN"/>
              </w:rPr>
            </w:pPr>
          </w:p>
        </w:tc>
        <w:tc>
          <w:tcPr>
            <w:tcW w:w="1116" w:type="dxa"/>
            <w:vAlign w:val="center"/>
          </w:tcPr>
          <w:p>
            <w:pPr>
              <w:jc w:val="left"/>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生产经营单位，应急管理部门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316" w:hRule="atLeast"/>
          <w:jc w:val="center"/>
        </w:trPr>
        <w:tc>
          <w:tcPr>
            <w:tcW w:w="480" w:type="dxa"/>
            <w:vAlign w:val="center"/>
          </w:tcPr>
          <w:p>
            <w:pPr>
              <w:jc w:val="center"/>
              <w:rPr>
                <w:rFonts w:hint="default"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3</w:t>
            </w:r>
          </w:p>
        </w:tc>
        <w:tc>
          <w:tcPr>
            <w:tcW w:w="1548" w:type="dxa"/>
            <w:vAlign w:val="center"/>
          </w:tcPr>
          <w:p>
            <w:pPr>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生产经营单位</w:t>
            </w:r>
          </w:p>
        </w:tc>
        <w:tc>
          <w:tcPr>
            <w:tcW w:w="1320" w:type="dxa"/>
            <w:vAlign w:val="center"/>
          </w:tcPr>
          <w:p>
            <w:pPr>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未建立事故隐患排查治理制度的</w:t>
            </w:r>
          </w:p>
          <w:p>
            <w:pPr>
              <w:jc w:val="center"/>
              <w:rPr>
                <w:rFonts w:hint="eastAsia" w:ascii="宋体" w:hAnsi="宋体" w:eastAsia="宋体" w:cs="宋体"/>
                <w:b/>
                <w:bCs/>
                <w:sz w:val="21"/>
                <w:szCs w:val="21"/>
                <w:vertAlign w:val="baseline"/>
                <w:lang w:val="en-US" w:eastAsia="zh-CN"/>
              </w:rPr>
            </w:pPr>
          </w:p>
        </w:tc>
        <w:tc>
          <w:tcPr>
            <w:tcW w:w="576" w:type="dxa"/>
            <w:vAlign w:val="center"/>
          </w:tcPr>
          <w:p>
            <w:pPr>
              <w:jc w:val="center"/>
              <w:rPr>
                <w:rFonts w:hint="default"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中</w:t>
            </w:r>
          </w:p>
        </w:tc>
        <w:tc>
          <w:tcPr>
            <w:tcW w:w="2796" w:type="dxa"/>
            <w:vAlign w:val="center"/>
          </w:tcPr>
          <w:p>
            <w:pPr>
              <w:jc w:val="left"/>
              <w:rPr>
                <w:rFonts w:hint="default"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《安全生产法》第九十八条第四项 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未建立事故隐患排查治理制度的。</w:t>
            </w:r>
          </w:p>
        </w:tc>
        <w:tc>
          <w:tcPr>
            <w:tcW w:w="1068" w:type="dxa"/>
            <w:vAlign w:val="center"/>
          </w:tcPr>
          <w:p>
            <w:pPr>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河南省应急管理厅关于印发《&lt;安全生法&gt;及地方性法规规章相关行政处罚自由裁量基( 试行 ) 》的通知(豫应急[2020]162 号 )</w:t>
            </w:r>
          </w:p>
        </w:tc>
        <w:tc>
          <w:tcPr>
            <w:tcW w:w="1344" w:type="dxa"/>
            <w:vAlign w:val="center"/>
          </w:tcPr>
          <w:p>
            <w:pPr>
              <w:jc w:val="left"/>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1.生产经营单位主要负责人和安全管理人员安全生产意识淡薄，未认真履行安全生产法律法规规定的安全生产管理职责。</w:t>
            </w:r>
          </w:p>
        </w:tc>
        <w:tc>
          <w:tcPr>
            <w:tcW w:w="1092" w:type="dxa"/>
            <w:vAlign w:val="center"/>
          </w:tcPr>
          <w:p>
            <w:pPr>
              <w:jc w:val="left"/>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1、加强监督监管2、健全安全生产规章制度3、强化教育培训</w:t>
            </w:r>
          </w:p>
        </w:tc>
        <w:tc>
          <w:tcPr>
            <w:tcW w:w="1116" w:type="dxa"/>
            <w:vAlign w:val="center"/>
          </w:tcPr>
          <w:p>
            <w:pPr>
              <w:jc w:val="left"/>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生产经营单位、应急管理部门</w:t>
            </w:r>
          </w:p>
        </w:tc>
      </w:tr>
    </w:tbl>
    <w:p>
      <w:pPr>
        <w:jc w:val="center"/>
        <w:rPr>
          <w:rFonts w:hint="eastAsia" w:ascii="宋体" w:hAnsi="宋体" w:eastAsia="宋体" w:cs="宋体"/>
          <w:b/>
          <w:bCs/>
          <w:sz w:val="21"/>
          <w:szCs w:val="21"/>
          <w:vertAlign w:val="baseli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BjNmI5MTZkYjBjZmYwZmZjYTlhY2E1NWEzMWE5MGEifQ=="/>
  </w:docVars>
  <w:rsids>
    <w:rsidRoot w:val="00000000"/>
    <w:rsid w:val="14FA3A25"/>
    <w:rsid w:val="1EB25D85"/>
    <w:rsid w:val="37B502A5"/>
    <w:rsid w:val="40821EBE"/>
    <w:rsid w:val="42D273E0"/>
    <w:rsid w:val="484B6BDE"/>
    <w:rsid w:val="65C569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2023-10-18T15:06:00Z</dcterms:created>
  <dc:creator>ASUS</dc:creator>
  <cp:lastModifiedBy>花落奈何风凉</cp:lastModifiedBy>
  <dcterms:modified xsi:type="dcterms:W3CDTF">2023-10-18T16:20:17Z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831F89DCC659490391468FF0CBE66A9D_12</vt:lpwstr>
  </property>
</Properties>
</file>