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76"/>
        <w:gridCol w:w="1037"/>
        <w:gridCol w:w="871"/>
        <w:gridCol w:w="961"/>
        <w:gridCol w:w="1093"/>
        <w:gridCol w:w="884"/>
        <w:gridCol w:w="1505"/>
        <w:gridCol w:w="1149"/>
        <w:gridCol w:w="1431"/>
        <w:gridCol w:w="1346"/>
        <w:gridCol w:w="946"/>
        <w:gridCol w:w="90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4361" w:type="dxa"/>
            <w:gridSpan w:val="1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夏邑县政务公开清单目录（2022年度）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序号</w:t>
            </w:r>
          </w:p>
        </w:tc>
        <w:tc>
          <w:tcPr>
            <w:tcW w:w="1037"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分类</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一级目录</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二级目录</w:t>
            </w:r>
          </w:p>
        </w:tc>
        <w:tc>
          <w:tcPr>
            <w:tcW w:w="1093"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三级目录</w:t>
            </w:r>
          </w:p>
        </w:tc>
        <w:tc>
          <w:tcPr>
            <w:tcW w:w="884"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四级目录</w:t>
            </w:r>
          </w:p>
        </w:tc>
        <w:tc>
          <w:tcPr>
            <w:tcW w:w="1505"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公开依据</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公开事项</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事项内容</w:t>
            </w:r>
          </w:p>
        </w:tc>
        <w:tc>
          <w:tcPr>
            <w:tcW w:w="1346"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公开时限</w:t>
            </w:r>
          </w:p>
        </w:tc>
        <w:tc>
          <w:tcPr>
            <w:tcW w:w="946"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公开方式</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公开形式</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w:t>
            </w:r>
          </w:p>
        </w:tc>
        <w:tc>
          <w:tcPr>
            <w:tcW w:w="1908"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政府信息公开指南</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政府信息公开指南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应当包括政府信息的分类、编排体系、获取方式，政府信息公开工作机构的名称、办公地址、办公时间、联系电话、传真号码、电子邮箱等内容</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w:t>
            </w:r>
          </w:p>
        </w:tc>
        <w:tc>
          <w:tcPr>
            <w:tcW w:w="1908" w:type="dxa"/>
            <w:gridSpan w:val="2"/>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政府信息公开制度</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国家制度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省级制度</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国家制度</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省级制度</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国办、省、级政府信息公开工作制度、政府信息公开工作考核制度、社会评议制度、责任追究制度</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1908" w:type="dxa"/>
            <w:gridSpan w:val="2"/>
            <w:vMerge w:val="continue"/>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市级制度</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市级制度</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市级政府信息公开工作制度、政府信息公开工作考核制度、社会评议制度、责任追究制度</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1908" w:type="dxa"/>
            <w:gridSpan w:val="2"/>
            <w:vMerge w:val="continue"/>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县级制度</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县级制度</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县级政府信息公开工作制度、政府信息公开工作考核制度、社会评议制度、责任追究制度</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w:t>
            </w:r>
          </w:p>
        </w:tc>
        <w:tc>
          <w:tcPr>
            <w:tcW w:w="1908" w:type="dxa"/>
            <w:gridSpan w:val="2"/>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政府信息公开工作年度报告</w:t>
            </w:r>
          </w:p>
        </w:tc>
        <w:tc>
          <w:tcPr>
            <w:tcW w:w="961"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w:t>
            </w:r>
          </w:p>
        </w:tc>
        <w:tc>
          <w:tcPr>
            <w:tcW w:w="114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政府信息公开工作年度报告</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机关主动公开政府信息的情况；行政机关收到和处理政府信息公开申请的情况；因政府信息公开工作被申请行政复议、提起行政诉讼的情况；政府信息公开工作存在的主要问题及改进情况；工作考核、社会评议和责任追究结果情况；其他需要报告的事项；结合本地实际的工作情况；不能雷同；并采用公众喜闻乐见的形式予以展现（例如：图文结合）</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1月31日前公布</w:t>
            </w:r>
          </w:p>
        </w:tc>
        <w:tc>
          <w:tcPr>
            <w:tcW w:w="9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文字、图片</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908" w:type="dxa"/>
            <w:gridSpan w:val="2"/>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2.《国务院办公厅关于印发2015年政府信息公开工作要点的通知》（国办发〔2015〕22号） 3.《关于政府信息公开工作年度报告有关事项的通知》（国办公开办函〔2019〕60号）</w:t>
            </w:r>
          </w:p>
        </w:tc>
        <w:tc>
          <w:tcPr>
            <w:tcW w:w="114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1" w:hRule="exac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决策公开</w:t>
            </w: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政策文件</w:t>
            </w: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其他文件</w:t>
            </w:r>
          </w:p>
        </w:tc>
        <w:tc>
          <w:tcPr>
            <w:tcW w:w="1093" w:type="dxa"/>
            <w:vMerge w:val="restart"/>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84" w:type="dxa"/>
            <w:vMerge w:val="restart"/>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1.《国务院办公厅关于加强行政规范性文件制定和监督管理工作的通知》（国办发〔2018〕37号)                2.《国务院关于修改&lt;行政法规制定程序条例&gt;的决定》（国令第694号）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夏政</w:t>
            </w:r>
          </w:p>
        </w:tc>
        <w:tc>
          <w:tcPr>
            <w:tcW w:w="143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文件名称、创建时间、正文内容、附件、政策解读链接、政策解读标题、政策原文标题、 政策原文链接、图解标题、 图解链接、视频解读标题、 视频解读链接、部门解读标题、 部门解读链接、其他解读标题、 其他解读链接、发布日期、废止时间、生效时间、备注</w:t>
            </w:r>
          </w:p>
        </w:tc>
        <w:tc>
          <w:tcPr>
            <w:tcW w:w="134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53" w:hRule="exac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夏政办</w:t>
            </w:r>
          </w:p>
        </w:tc>
        <w:tc>
          <w:tcPr>
            <w:tcW w:w="143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46"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规范性文件</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规范性文件</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规范性文件正文内容、发布日期，继续有效类规范性文件目录，修改类规范性文件目录及修改后文本，失效类规范性文件目录，废止类规范性文件目录；失效的文件需要在原文件备注“失效”</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政策解读</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政策解读</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背景依据、目标任务、主要内容、涉及范围、执行标准，以及注意事项、关键词诠释、惠民利民举措、新旧政策差异等；解读政策与对应文件实现关联；运用政策简明问答、网络问政等方式</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与文件同步发布</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文字、图片、视频、H5动漫等</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重大决策预公开</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重大决策预公开制度</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1.《中共中央办公厅、国务院办公厅&lt;关于全面推进政务公开工作的意见&gt;》(中办发〔2016〕8号)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重大决策预公开制度</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重大决策预公开制度</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意见征集</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2.《国务院办公厅印发&lt;关于全面推进政务公开工作的意见&gt;实施细则的通知》(国办发〔2016〕80号)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意见征集信息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公布决策草案、决策依据、提出意见的方式、期限。公开征求意见的期限一般不少于30日。通过听证座谈、实地走访、书面征求意见、问卷调查、民意调查、媒体沟通等多种方式进行意见征集</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意见反馈</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3.《河南省重大行政决策程序规定》（省政府令第210号）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意见反馈及采纳情况</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公布公众意见、专家论证意见的采纳情况，通过新闻发布会、接受访谈等方式进行宣传解读</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6</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政府会议</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政府会议</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政府全体会议，政府常务会议</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执行公开</w:t>
            </w: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政府工作报告</w:t>
            </w:r>
          </w:p>
        </w:tc>
        <w:tc>
          <w:tcPr>
            <w:tcW w:w="961" w:type="dxa"/>
            <w:shd w:val="clear" w:color="auto" w:fill="FFFFFF"/>
            <w:noWrap/>
            <w:vAlign w:val="center"/>
          </w:tcPr>
          <w:p>
            <w:pPr>
              <w:rPr>
                <w:rFonts w:hint="eastAsia" w:ascii="宋体" w:hAnsi="宋体" w:eastAsia="宋体" w:cs="宋体"/>
                <w:i w:val="0"/>
                <w:iCs w:val="0"/>
                <w:color w:val="000000"/>
                <w:sz w:val="18"/>
                <w:szCs w:val="18"/>
                <w:u w:val="none"/>
                <w:lang w:val="en-US" w:eastAsia="zh-CN"/>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1.《中共中央办公厅、国务院办公厅《关于全面推进政务公开工作的意见》(中办发〔2016〕8号)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政府工作报告</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公布政府工作报告全文。</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2.《河南省人民政府办公厅关于印发2021年河南省政务公开工作要点的通知》（豫政办〔2021〕26号）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政府工作报告重点工作分解</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重点工作事项、责任单位或责任人、完成时限</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政府工作报告重点工作执行情况</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重点工作执行情况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县政府</w:t>
            </w: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政府机构</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1.《国务院办公厅关于印发政府网站发展指引的通知》(国办发〔2017〕47号)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机构职能</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机构全称、机构职能、机构地址、联系方式、办公时间、公开电话、机构负责人</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政府领导</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政府领导信息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姓名、照片、简历、职务、分管范围、性别、民族、出生年月、籍贯、政治面貌</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文字、图片</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人事信息</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人事任免</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     2.《事业单位人事管理条例》（国务院令第652号 ）</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人事任免</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人事任免文件</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公务员招录</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                                       2.《关于进一步规范事业单位公开招聘工作的通知》（人社部发〔2010〕92号 ）</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公务员招录</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招考公告及职位、成绩、体检、入围名单、公示与录取结果等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自该信息形成或者变更之日起7个工作日内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事业单位招聘</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                                      2.《事业单位人事管理条例》（国务院令第652号 ）</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事业单位招录</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招考公告及职位、成绩、体检、入围名单、公示与录取结果等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自该信息形成或者变更之日起7个工作日内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权责清单</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1.《中共中央办公厅、国务院办公厅&lt;关于全面推进政务公开工作的意见&gt;》、2.《国务院办公厅关于印发2017年政务公开工作要点的通知》（国办发〔2017〕24号）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权力清单及动态调整信息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权力清单；取消、下放、承接情况等调整情况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县编委办、县直各部门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责任清单及动态调整信息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责任清单（包括事实依据、责任事项、追责情形）；取消、下放、承接情况等调整情况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县编委办、县行政审批局、县直各部门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11</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双公示</w:t>
            </w: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行政许可/其他对外管理服务</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1.《国务院办公厅关于运用大数据加强对市场主体服务和监管的若干意见》（国办发〔2015〕51号）</w:t>
            </w: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行政许可、其他对外管理服务事项依据</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行政许可、其他对外管理服务事项依据</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具有行政许可和行政处罚权限的县直部门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2.国家发展改革委《关于认真做好行政许可和行政处罚等信用信息公示工作的通知》(发改电〔2015〕557号)</w:t>
            </w: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行政许可结果公示</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行政许可结果信息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自该信息形成或者变更之日起7个工作日内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具有行政许可和行政处罚权限的县直部门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行政处罚/行政强制</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3.《关于深入推进行政许可和行政处罚等信用信息公示工作的通知》(发改电〔2015〕687号)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行政处罚、行政强制依据</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行政处罚、行政强制依据</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具有行政许可和行政处罚权限的县直部门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4.《关于规范行政许可和行政处罚等信用信息数据标准的通知》(发改电〔2015〕806号)                           5.《国家发展改革委办公厅关于进一步完善行政许可和行政处罚等信用信息公示工作的指导意见》（发改办财金〔2018〕424号）</w:t>
            </w: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行政处罚结果公示</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自该信息形成或者变更之日起7个工作日内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具有行政许可和行政处罚权限的县直部门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“双随机、一公开”</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1.《国务院关于在市场监管领域全面推行部门联合“双随机、一公开”监管的意见》（国发〔2019〕5号）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年度随机抽查工作计划</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年度随机抽查工作计划（包括一般检查事项和重点检查事项、工作任务、参与部门）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市场监管局及各相关部门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随机抽查事项清单</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随机抽查事项清单（包括抽查依据、主体、内容、方式等）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市场监管局及各相关部门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抽查检查结果</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抽查检查结果信息（包括抽查时间、被抽查单位、抽查情况、抽查人员、改正情况等）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市场监管局及各相关部门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13</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财政信息</w:t>
            </w: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财政预决算</w:t>
            </w:r>
          </w:p>
        </w:tc>
        <w:tc>
          <w:tcPr>
            <w:tcW w:w="109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政府财政预决算</w:t>
            </w: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1.《国务院办公厅关于印发当前政府信息公开重点工作安排的通知》（国办发〔2013〕73号）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政府财政预决算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预决算报告、报表；政府预决算调整的决定或批复；预算执行情况的报告及报表；财政转移支付安排、执行情况、举借债务情况等重要事项的说明（一般公共预决算基本支出逐步公开到经济分类款级科目，专项转移支付预决算公开到具体项目）</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经本级人民代表大会或者本级人民代表大会常务委员会批准的后二十日内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政府财政信息公开专栏和部门门户网站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2.《中华人民共和国预算法》</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政府“三公”经费预算决</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政府“三公”经费预决算报告、报表（“三公”经费预算总额、增减变化；因公出国（境）经费预算、公务接待费预算、公务用车运行和购置费预算金额和增减变化，对于增减变化较大的说明增减变化原因）</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经本级人民代表大会或者本级人民代表大会常务委员会批准的后二十日内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政府财政信息公开专栏和部门门户网站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部门财政预决算</w:t>
            </w: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3.《财政部关于进一步做好预算信息公开工作的指导意见》（财预[2010]31号）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部门财政预决算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决算报告、报表；预算执行情况的报告及报表；财政转移支付安排、执行情况、举借债务情况等重要事项的说明（一般公共预决算基本支出逐步公开到经济分类款级科目，专项转移支付预决算公开到具体项目）</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4.《财政部关于印发&lt;地方预决算公开操作规程&gt;的通知》（财预〔2016〕143号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部门“三公”经费预决算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三公”经费预决算报告、报表（“三公”经费决算总额、增减变化；因公出国（境）经费决算、公务接待费决算、公务用车运行和购置费预算金额和增减变化、因公出国（境）团组及人数、国内公务接待费批次及人数、公务用车购置数及保有量，对于增减变化较大的说明增减变化原因。）</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行政事业性收费</w:t>
            </w:r>
          </w:p>
        </w:tc>
        <w:tc>
          <w:tcPr>
            <w:tcW w:w="109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行政事业性收费清单</w:t>
            </w: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                                2.《国务院办公厅关于印发2017年政务公开工作要点的通知》（国办发〔2017〕24号）                                                                 3.《国务院办公厅关于印发2016年政务公开工作要点的通知》（国办发〔2016〕19号）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行政事业性收费清单</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项目、依据、标准</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财政局、发改委、相关单位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审计结果</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2.《国务院加强审计工作的意见》（国发〔2014〕48号）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审计结果公告</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度预算执行和其他财政收支审计公告基本情况、审计发现的主要问题；重大决策部署落实情况跟踪审计发现的主要问题、审计意见；问题典型、整改典型年度专项审计项目及国有投资项目审计的结果公告包括基本情况、审计发现的主要问题、审计意见建议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15</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                                2.《国务院办公厅关于印发&lt;省(区、市)人民政府突发公共事件总体应急预案框架指南&gt;的函》</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突发公共事件的应急预案</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突发公共事件的应急预案（要素包括总则、组织机构与职责、预测与预警、应急响应、后期处置、保障措施、宣传、培训和演习、附录）</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预警信息及应对情况</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预警信息及应对情况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16</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行政复议</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行政复议网上申请指南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行政复议网上申请途径。</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行政复议结果</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行政复议结果</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17</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服务公开</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行政权力办事指南</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行政审批指南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行政审批指南包括（审批事项设定依据、申请条件、申请材料、办理流程、审批时限、收费依据及标准、审批决定证件、年检要求、注意事项、联系方式及投诉渠道）</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各具有行政审批职权的县直部门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18</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1.《中共中央办公厅国务院办公厅印发〈关于全面推进政务公开工作的意见〉的通知》（中办发〔2016〕8号）</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2.《国务院办公厅关于印发2017年政务公开工作要点的通知》（国办发〔2017〕24号）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公共服务事项清单</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公共服务事项清单包括事项名称、办理依据、实施机构等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县编委办、各相关县直部门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《国务院办公厅关于简化优化公共服务流程方便基层群众办事创业的通知》（国办发〔2015〕86号）</w:t>
            </w:r>
          </w:p>
        </w:tc>
        <w:tc>
          <w:tcPr>
            <w:tcW w:w="114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公共服务指南</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公开服务指南（办理依据、承办机构、示范文本及常见错误示例、申报材料、服务流程、办理时限、收费依据及标准、咨询方式）</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各相关县直部门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19</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结果公开</w:t>
            </w: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计划规划</w:t>
            </w:r>
          </w:p>
        </w:tc>
        <w:tc>
          <w:tcPr>
            <w:tcW w:w="96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国民经济和社会发展规划</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国民经济和社会发展规划</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国民经济和社会发展规划及相关政策、名称、创建时间、内容概述、正文内容、附件、备注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专项规划</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专项规划</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专项规划及相关政策、名称、创建时间、内容概述、正文内容、附件、备注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县政府办、发改委、住建局及各相关部门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空间规划</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空间规划</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县域规划及相关政策、名称、创建时间、内容概述、正文内容、附件、备注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县政府办、发改委、住建局及各相关部门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21</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建议提案办理</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1.《国务院办公厅关于印发2017年政务公开工作要点的通知》（国办发〔2017〕24号）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人大代表建议办理结果</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人大代表建议办理答复全文（若有统一平台，链接即可）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2.《国务院办公厅关于印发2018年政务公开工作要点的通知》（国办发〔2018〕23号）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政协委员提案办理结果</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政协委员提案办理答复全文（若有统一平台，链接即可）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统计数据</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统计数据</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定期公开主要经济指标数据；</w:t>
            </w:r>
          </w:p>
        </w:tc>
        <w:tc>
          <w:tcPr>
            <w:tcW w:w="134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24</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回应关切</w:t>
            </w:r>
          </w:p>
        </w:tc>
        <w:tc>
          <w:tcPr>
            <w:tcW w:w="961"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1《国务院办公厅关于在政务公开工作中进一步做好政务舆情回应的通知》（国办发〔2016〕61号）</w:t>
            </w:r>
          </w:p>
        </w:tc>
        <w:tc>
          <w:tcPr>
            <w:tcW w:w="114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主动回应信息</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对经济社会热点、群众广泛关注的热点进行回应（可通过网上发布信息、组织专家解读、召开新闻发布会或吹风会、接受媒体专访等多种形式，需要有部门主要负责人进行回应）</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涉及特别重大、重大突发事件的政务舆情，24小时内举行新闻发布会；其他政务舆情应在48小时内予以回应</w:t>
            </w:r>
          </w:p>
        </w:tc>
        <w:tc>
          <w:tcPr>
            <w:tcW w:w="9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2.《国务院办公厅关于印发2019年政务公开工作要点的通知》（国办发〔2019〕14号）</w:t>
            </w:r>
          </w:p>
        </w:tc>
        <w:tc>
          <w:tcPr>
            <w:tcW w:w="114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25</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网上咨询</w:t>
            </w:r>
          </w:p>
        </w:tc>
        <w:tc>
          <w:tcPr>
            <w:tcW w:w="961"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1.《中共中央办公厅国务院办公厅印发〈关于全面推进政务公开工作的意见〉的通知》（中办发〔2016〕8号）</w:t>
            </w:r>
          </w:p>
        </w:tc>
        <w:tc>
          <w:tcPr>
            <w:tcW w:w="114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咨询建议</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政府网站网上咨询栏目</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属于政策、办事咨询类的信件要在3个工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作日内办理完毕，需要调查核实的问题类信件的一般要在7个工作日内反馈处理意见，情况复杂的可延长至15个工作日，无法办理的应予以解释说明</w:t>
            </w:r>
          </w:p>
        </w:tc>
        <w:tc>
          <w:tcPr>
            <w:tcW w:w="946" w:type="dxa"/>
            <w:vMerge w:val="restart"/>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文字答复</w:t>
            </w:r>
          </w:p>
        </w:tc>
        <w:tc>
          <w:tcPr>
            <w:tcW w:w="1154" w:type="dxa"/>
            <w:vMerge w:val="restart"/>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2.《国务院办公厅印发〈关于全面推进政务公开工作的意见〉实施细则的通知》（国办发〔2016〕80号）</w:t>
            </w:r>
          </w:p>
        </w:tc>
        <w:tc>
          <w:tcPr>
            <w:tcW w:w="114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908"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5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908"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5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26</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民意征集</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6.《国务院办公厅关于印发2019年政务公开工作要点的通知》（国办发〔2019〕14号）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在线投票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通过上述形式问计于民问需于民</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27</w:t>
            </w: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新媒体矩阵</w:t>
            </w: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客户端</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1.《国务院办公厅关于在政务公开工作中进一步做好政务舆情回应的通知》国办发〔2016〕61号    2.《国务院办公厅关于推进政务新媒体健康有序发展的意见》（国办发〔2018〕123号）</w:t>
            </w:r>
          </w:p>
        </w:tc>
        <w:tc>
          <w:tcPr>
            <w:tcW w:w="114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客户端</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内容及时更新，及时回复网友问答，做好信息发布、政策解读和办事服务工作，进一步增强公开实效，提升服务水平；在政府网站上体现</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FFFFFF"/>
            <w:vAlign w:val="center"/>
          </w:tcPr>
          <w:p>
            <w:pP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官方微博</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官方微博</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内容及时更新，及时回复网友问答，做好信息发布、政策解读和办事服务工作，进一步增强公开实效，提升服务水平；在政府网站上体现</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官方微信</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官方微信</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内容及时更新，及时回复网友问答，做好信息发布、政策解读和办事服务工作，进一步增强公开实效，提升服务水平；在政府网站上体现</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县政府办及相关单位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28</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法定公开事项</w:t>
            </w: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重大项目</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批准服务信息</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国家发展改革委办公厅关于印发《重大建设项目领域基层政务公开标准指引》的通知（发改办投资〔2019〕621号）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批准服务指南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办事指南包括：申报要求、申报材料清单、批准流程、办理时限、受理机构联系方式、监督举报方式等，办理过程信息：事项名称、事项办理部门、办理进展等。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县发改委、县自然资源局、县住建局、县生态环境局、县水利局等相关审批部门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批准结果信息</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批准结果信息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投资项目建议书审批，政府投资项目可行性研究报告审批、政府投资项目初步设计审批、企业投资项目核准、企业投资项目备案、节能审查、选址意见书、建设项目用地（用海）预审、建设项目环境影响评价审批、建设用地（含临时用地）规划许可证核发、建设工程规划许可证核发、乡村建设规划许可证核发、建筑工程施工许可证核发、交通建设工程施工许可审批（仅批农村公路）、招标事项审批核准结果、取水许可审批、生产建设项目水土保持方案审批、涉河涉堤建设项目审批（含占用水域审批）、河道管理范围内有关活动许可、洪水影响评价审批、采伐林木审批（仅批一般林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招投标信息</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招标投标</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招标公告、中标候选人公示、中标结果公示、合同订立及备案情况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实时公开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违法处罚</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行政处罚决定书或其他处理结果</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行政处罚事项应当自作出行政决定之日起7个工作日内上网公开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征地补偿</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征收土地信息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征地告知书以及履行征地报批前程序的相关证明材料、建设项目用地呈报说明书、农用地转用方案、补充耕地方案、征收土地方案、供地方案、征地批后实施中征地公告、征地补偿安置方案公告等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村（社区）公示栏实时公开；收到征收土地方案批准文件之日起15个工作日内公开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30</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民生信息</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乡村振兴</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国务院扶贫办综合司关于印发《扶贫领域基层政务公开标准指引》的通知（国开办司函〔2019〕102号）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精准脱贫领域信息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扶贫规划；围绕低收入农户高水平全面小康计划、因病致贫家庭救助、决胜消除集体经济薄弱村等方面，重点做好相关政策举措、扶贫项目、财政专项扶贫资金、扶贫小额信贷、行业扶贫相关财政资金等信息公开工作；向特定域特定群体公开贫困识别、贫困退出、扶贫资金分配和使用情况、帮扶责任人、扶贫成效等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农业农村局、乡村振兴局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32</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人力资源社会保障部办公厅关于印发《就业和社会保险领域基层政务公开标准指引》的通知（人社厅函〔2019〕113号） </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就业创业政策措施及实施情况</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促进就业、创业方面的规划、政策、措施和实施情况；公开面向农村劳动力、就业困难人员、高校毕业生等就业专项活动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就业创业资金管理</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就业创业补贴资金申领、发放、审批程序</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就业创业招聘信息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本级人力资源市场岗位需求信息，人力资源市场分析信息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33</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社会救助</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民政部办公厅关于印发《社会救助和养老服务领域基层政务公开标准指引》的通知（民办函〔2019〕52号）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最低生活保障</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城乡低保相关制度；集中发各县救助人数及资金使用统计报表或通报</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特困人员救助供养</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特困人员供养救助相关制度；集中发各县救助人数及资金使用统计报表或通报</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临时救助</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特困人员供养救助相关制度；集中发各县救助人数及资金使用统计报表或通报</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民政局、残联、应急管理局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34</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养老服务</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民政部办公厅关于印发《养老服务质量信息公开标准指引》的通知（民办函〔2019〕137号） </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养老服务通用政策</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国家和地方层面养老服务相关法律、法规、政策文件，养老服务扶持政策措施清单，养老机构投资指南</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养老服务业务办理</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养老机构备案，养老服务扶持补贴，老年人补贴</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养老服务行业管理信息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养老机构备案信息，养老服务扶持补贴信息，养老机构评估信息、民政部门负责的养老机构行政处罚信息，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35</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333333"/>
                <w:sz w:val="18"/>
                <w:szCs w:val="18"/>
                <w:u w:val="none"/>
                <w:lang w:val="en-US"/>
              </w:rPr>
            </w:pPr>
            <w:r>
              <w:rPr>
                <w:rFonts w:hint="eastAsia" w:ascii="宋体" w:hAnsi="宋体" w:eastAsia="宋体" w:cs="宋体"/>
                <w:i w:val="0"/>
                <w:iCs w:val="0"/>
                <w:color w:val="333333"/>
                <w:kern w:val="0"/>
                <w:sz w:val="18"/>
                <w:szCs w:val="18"/>
                <w:u w:val="none"/>
                <w:lang w:val="en-US" w:eastAsia="zh-CN" w:bidi="ar"/>
              </w:rPr>
              <w:t>教育领域</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教育部办公厅关于印发《义务教育领域基层政务公开标准指引》的通知（教办厅函〔2019〕39号）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义务教育信息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义务教育政策、发展规划、经费投入和使用、困难学生资助实施情况等信息；义务教育招生方案、招生范围、招生程序、报名条件、学校情况、录取结果、咨询方式等信息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36</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基本医疗卫生</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国家卫生健康委办公厅关于印发《卫生健康领域基层政务公开标准指引（试行）》的通知（国卫办政务函〔2019〕698号） </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预防控制</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重大疾病预防控制、国家免疫规划、突发公共卫生事件等信息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疫苗监管</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疫苗监管相关信息；例如相关制度，接种单位</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医疗服务项目价格</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主动公开全省城乡居民慢性病医疗保障制度完善情况和医疗服务项目价格体系调整情况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医保领域重点改革信息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医保领域重点改革信息公开和打击欺诈骗取医保基金信息公开</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自该信息形成或者变更之日起21个工作日内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健康科普</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针对妇女、未成年人、老年人等重点人群和农村、工矿企业等重点领域，开展专项健康科普</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37</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公共文化服务</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文化</w:t>
            </w: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文化和旅游部办公厅 国家文物局办公室关于印发《公共文化服务领域基层政务公开标准指引》的通知 （办办发〔2019〕139号）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政策文件</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公共文化的服务保障政策</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服务体系建设</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公共文化领域服务体系建设信息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财政资金投入和使用</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公共文化项目资金投入和使用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设施建设和使用</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公共文化设施建设和使用信息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政府购买公共文化服务目录</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政府购买公共文化服务目录、绩效评价结果</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文化遗产保护</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公开文化遗产保护信息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公共文化设施</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公共文化设施名录</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公共文化活动</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公益性文化服务活动</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受捐款物使用和管理</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公共文化受捐款物使用和管理情况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受捐款物使用和管理</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公共体育受捐款物使用和管理情况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38</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333333"/>
                <w:sz w:val="18"/>
                <w:szCs w:val="18"/>
                <w:u w:val="none"/>
                <w:lang w:val="en-US"/>
              </w:rPr>
            </w:pPr>
            <w:r>
              <w:rPr>
                <w:rFonts w:hint="eastAsia" w:ascii="宋体" w:hAnsi="宋体" w:eastAsia="宋体" w:cs="宋体"/>
                <w:i w:val="0"/>
                <w:iCs w:val="0"/>
                <w:color w:val="333333"/>
                <w:kern w:val="0"/>
                <w:sz w:val="18"/>
                <w:szCs w:val="18"/>
                <w:u w:val="none"/>
                <w:lang w:val="en-US" w:eastAsia="zh-CN" w:bidi="ar"/>
              </w:rPr>
              <w:t>环境保护</w:t>
            </w:r>
          </w:p>
        </w:tc>
        <w:tc>
          <w:tcPr>
            <w:tcW w:w="1093"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环境信息</w:t>
            </w:r>
          </w:p>
        </w:tc>
        <w:tc>
          <w:tcPr>
            <w:tcW w:w="1505"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生态环境部办公厅关于印发《生态环境领域基层政务公开标准指引》的通知（环办厅函〔2019〕672号）</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生态文明建设政策措施、实施效果</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双公示</w:t>
            </w: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行政处罚决定</w:t>
            </w:r>
          </w:p>
        </w:tc>
        <w:tc>
          <w:tcPr>
            <w:tcW w:w="1431" w:type="dxa"/>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环境违法行为处罚</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vAlign w:val="center"/>
          </w:tcPr>
          <w:p>
            <w:pPr>
              <w:jc w:val="center"/>
              <w:rPr>
                <w:rFonts w:hint="eastAsia" w:ascii="宋体" w:hAnsi="宋体" w:eastAsia="宋体" w:cs="宋体"/>
                <w:i w:val="0"/>
                <w:iCs w:val="0"/>
                <w:color w:val="333333"/>
                <w:sz w:val="18"/>
                <w:szCs w:val="18"/>
                <w:u w:val="none"/>
                <w:lang w:val="en-US" w:eastAsia="zh-CN"/>
              </w:rPr>
            </w:pPr>
            <w:r>
              <w:rPr>
                <w:rFonts w:hint="eastAsia" w:ascii="宋体" w:hAnsi="宋体" w:eastAsia="宋体" w:cs="宋体"/>
                <w:i w:val="0"/>
                <w:iCs w:val="0"/>
                <w:color w:val="333333"/>
                <w:sz w:val="18"/>
                <w:szCs w:val="18"/>
                <w:u w:val="none"/>
                <w:lang w:val="en-US" w:eastAsia="zh-CN"/>
              </w:rPr>
              <w:t>环境通报</w:t>
            </w: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环境监管</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及时公开重大环境污染和生态破坏事件调查处理，环境保护执法监管、投诉处理等信息（包含大气污染防治、水污染防治、土壤污染管控和修复等信息的公开工作）</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环评审批</w:t>
            </w:r>
          </w:p>
        </w:tc>
        <w:tc>
          <w:tcPr>
            <w:tcW w:w="1505" w:type="dxa"/>
            <w:vMerge w:val="continue"/>
            <w:shd w:val="clear" w:color="auto" w:fill="FFFFFF"/>
            <w:vAlign w:val="center"/>
          </w:tcPr>
          <w:p>
            <w:pPr>
              <w:jc w:val="left"/>
              <w:rPr>
                <w:rFonts w:hint="eastAsia" w:ascii="宋体" w:hAnsi="宋体" w:eastAsia="宋体" w:cs="宋体"/>
                <w:i w:val="0"/>
                <w:iCs w:val="0"/>
                <w:color w:val="333333"/>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环境影响评价</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建设项目环境影响评价审批公示、受理公示、竣工验收公示信息；发布环境影响评价批复全文</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39</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食品药品监管</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市场监管总局办公厅关于印发《食品药品监管领域基层政务公开标准指引》的通知 （市监办函〔2019〕1111号）</w:t>
            </w: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深化食品药品安全信息公开，实施食品药品生产经营严重失信者名单公开制度，全面公开监管执法信息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41</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w:t>
            </w:r>
          </w:p>
        </w:tc>
        <w:tc>
          <w:tcPr>
            <w:tcW w:w="1093" w:type="dxa"/>
            <w:vMerge w:val="restart"/>
            <w:shd w:val="clear" w:color="auto" w:fill="auto"/>
            <w:noWrap/>
            <w:vAlign w:val="center"/>
          </w:tcPr>
          <w:p>
            <w:pPr>
              <w:rPr>
                <w:rFonts w:hint="eastAsia" w:ascii="宋体" w:hAnsi="宋体" w:eastAsia="宋体" w:cs="宋体"/>
                <w:i w:val="0"/>
                <w:iCs w:val="0"/>
                <w:color w:val="000000"/>
                <w:sz w:val="18"/>
                <w:szCs w:val="18"/>
                <w:u w:val="none"/>
              </w:rPr>
            </w:pPr>
          </w:p>
        </w:tc>
        <w:tc>
          <w:tcPr>
            <w:tcW w:w="884" w:type="dxa"/>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应急管理部办公厅关于印发《安全生产和救灾领域基层政务公开标准目录指引》的通知（应急厅函〔2019〕390号）</w:t>
            </w:r>
          </w:p>
        </w:tc>
        <w:tc>
          <w:tcPr>
            <w:tcW w:w="1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安全生产法律、法规、规章、标准和规范性文件</w:t>
            </w: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标题、时间、文号、全文</w:t>
            </w:r>
          </w:p>
        </w:tc>
        <w:tc>
          <w:tcPr>
            <w:tcW w:w="13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884" w:type="dxa"/>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auto"/>
            <w:vAlign w:val="center"/>
          </w:tcPr>
          <w:p>
            <w:pPr>
              <w:jc w:val="left"/>
              <w:rPr>
                <w:rFonts w:hint="eastAsia" w:ascii="宋体" w:hAnsi="宋体" w:eastAsia="宋体" w:cs="宋体"/>
                <w:i w:val="0"/>
                <w:iCs w:val="0"/>
                <w:color w:val="333333"/>
                <w:sz w:val="18"/>
                <w:szCs w:val="18"/>
                <w:u w:val="none"/>
              </w:rPr>
            </w:pPr>
          </w:p>
        </w:tc>
        <w:tc>
          <w:tcPr>
            <w:tcW w:w="1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预警预防和应急处置救援信息</w:t>
            </w: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安全生产风险监测包括可能引发事故灾难的自然灾害风险信息和重大隐患预警信息、预警预防措施以及应急处置救援信息</w:t>
            </w:r>
          </w:p>
        </w:tc>
        <w:tc>
          <w:tcPr>
            <w:tcW w:w="13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及时公开</w:t>
            </w:r>
          </w:p>
        </w:tc>
        <w:tc>
          <w:tcPr>
            <w:tcW w:w="9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884" w:type="dxa"/>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auto"/>
            <w:vAlign w:val="center"/>
          </w:tcPr>
          <w:p>
            <w:pPr>
              <w:jc w:val="left"/>
              <w:rPr>
                <w:rFonts w:hint="eastAsia" w:ascii="宋体" w:hAnsi="宋体" w:eastAsia="宋体" w:cs="宋体"/>
                <w:i w:val="0"/>
                <w:iCs w:val="0"/>
                <w:color w:val="333333"/>
                <w:sz w:val="18"/>
                <w:szCs w:val="18"/>
                <w:u w:val="none"/>
              </w:rPr>
            </w:pPr>
          </w:p>
        </w:tc>
        <w:tc>
          <w:tcPr>
            <w:tcW w:w="1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安全隐患曝光</w:t>
            </w: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安全生产检查中发现的安全隐患信息，包括违法违规单位及其法定代表人名单和处理、整改情况</w:t>
            </w:r>
          </w:p>
        </w:tc>
        <w:tc>
          <w:tcPr>
            <w:tcW w:w="13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884" w:type="dxa"/>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auto"/>
            <w:vAlign w:val="center"/>
          </w:tcPr>
          <w:p>
            <w:pPr>
              <w:jc w:val="left"/>
              <w:rPr>
                <w:rFonts w:hint="eastAsia" w:ascii="宋体" w:hAnsi="宋体" w:eastAsia="宋体" w:cs="宋体"/>
                <w:i w:val="0"/>
                <w:iCs w:val="0"/>
                <w:color w:val="333333"/>
                <w:sz w:val="18"/>
                <w:szCs w:val="18"/>
                <w:u w:val="none"/>
              </w:rPr>
            </w:pPr>
          </w:p>
        </w:tc>
        <w:tc>
          <w:tcPr>
            <w:tcW w:w="11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安全生产监管随机抽查事项清单</w:t>
            </w: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抽查依据、抽查主体、抽查内容、抽查方式</w:t>
            </w:r>
          </w:p>
        </w:tc>
        <w:tc>
          <w:tcPr>
            <w:tcW w:w="134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884" w:type="dxa"/>
            <w:vMerge w:val="restart"/>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auto"/>
            <w:vAlign w:val="center"/>
          </w:tcPr>
          <w:p>
            <w:pPr>
              <w:jc w:val="left"/>
              <w:rPr>
                <w:rFonts w:hint="eastAsia" w:ascii="宋体" w:hAnsi="宋体" w:eastAsia="宋体" w:cs="宋体"/>
                <w:i w:val="0"/>
                <w:iCs w:val="0"/>
                <w:color w:val="333333"/>
                <w:sz w:val="18"/>
                <w:szCs w:val="18"/>
                <w:u w:val="none"/>
              </w:rPr>
            </w:pPr>
          </w:p>
        </w:tc>
        <w:tc>
          <w:tcPr>
            <w:tcW w:w="114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监管执法信息</w:t>
            </w: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安全生产方面的监管执法抽查结果、查处情况；</w:t>
            </w:r>
          </w:p>
        </w:tc>
        <w:tc>
          <w:tcPr>
            <w:tcW w:w="1346"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auto"/>
            <w:vAlign w:val="center"/>
          </w:tcPr>
          <w:p>
            <w:pPr>
              <w:jc w:val="left"/>
              <w:rPr>
                <w:rFonts w:hint="eastAsia" w:ascii="宋体" w:hAnsi="宋体" w:eastAsia="宋体" w:cs="宋体"/>
                <w:i w:val="0"/>
                <w:iCs w:val="0"/>
                <w:color w:val="333333"/>
                <w:sz w:val="18"/>
                <w:szCs w:val="18"/>
                <w:u w:val="none"/>
              </w:rPr>
            </w:pPr>
          </w:p>
        </w:tc>
        <w:tc>
          <w:tcPr>
            <w:tcW w:w="1149"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年度抽查工作计划；</w:t>
            </w:r>
          </w:p>
        </w:tc>
        <w:tc>
          <w:tcPr>
            <w:tcW w:w="1346" w:type="dxa"/>
            <w:vMerge w:val="continue"/>
            <w:shd w:val="clear" w:color="auto" w:fill="auto"/>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884" w:type="dxa"/>
            <w:vMerge w:val="continue"/>
            <w:shd w:val="clear" w:color="auto" w:fill="auto"/>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auto"/>
            <w:vAlign w:val="center"/>
          </w:tcPr>
          <w:p>
            <w:pPr>
              <w:jc w:val="left"/>
              <w:rPr>
                <w:rFonts w:hint="eastAsia" w:ascii="宋体" w:hAnsi="宋体" w:eastAsia="宋体" w:cs="宋体"/>
                <w:i w:val="0"/>
                <w:iCs w:val="0"/>
                <w:color w:val="333333"/>
                <w:sz w:val="18"/>
                <w:szCs w:val="18"/>
                <w:u w:val="none"/>
              </w:rPr>
            </w:pPr>
          </w:p>
        </w:tc>
        <w:tc>
          <w:tcPr>
            <w:tcW w:w="1149"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4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安全生产不良记录“黑名单”</w:t>
            </w:r>
          </w:p>
        </w:tc>
        <w:tc>
          <w:tcPr>
            <w:tcW w:w="1346" w:type="dxa"/>
            <w:vMerge w:val="continue"/>
            <w:shd w:val="clear" w:color="auto" w:fill="auto"/>
            <w:vAlign w:val="center"/>
          </w:tcPr>
          <w:p>
            <w:pPr>
              <w:rPr>
                <w:rFonts w:hint="eastAsia" w:ascii="宋体" w:hAnsi="宋体" w:eastAsia="宋体" w:cs="宋体"/>
                <w:i w:val="0"/>
                <w:iCs w:val="0"/>
                <w:color w:val="000000"/>
                <w:sz w:val="18"/>
                <w:szCs w:val="18"/>
                <w:u w:val="none"/>
              </w:rPr>
            </w:pPr>
          </w:p>
        </w:tc>
        <w:tc>
          <w:tcPr>
            <w:tcW w:w="946"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1154"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42</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其他专项信息</w:t>
            </w:r>
          </w:p>
        </w:tc>
        <w:tc>
          <w:tcPr>
            <w:tcW w:w="961" w:type="dxa"/>
            <w:vMerge w:val="restar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333333"/>
                <w:sz w:val="18"/>
                <w:szCs w:val="18"/>
                <w:u w:val="none"/>
                <w:lang w:val="en-US"/>
              </w:rPr>
            </w:pPr>
            <w:r>
              <w:rPr>
                <w:rFonts w:hint="eastAsia" w:ascii="宋体" w:hAnsi="宋体" w:eastAsia="宋体" w:cs="宋体"/>
                <w:i w:val="0"/>
                <w:iCs w:val="0"/>
                <w:color w:val="333333"/>
                <w:kern w:val="0"/>
                <w:sz w:val="18"/>
                <w:szCs w:val="18"/>
                <w:u w:val="none"/>
                <w:lang w:val="en-US" w:eastAsia="zh-CN" w:bidi="ar"/>
              </w:rPr>
              <w:t>公共资源配置</w:t>
            </w:r>
          </w:p>
        </w:tc>
        <w:tc>
          <w:tcPr>
            <w:tcW w:w="109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法规政策 </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国有土地相关政策文件</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土地供应计划 </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国有建设用地年度供应计划信息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出让公告 </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国有建设用地使用权出让公告信息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 xml:space="preserve">成交公示、 供应结果 </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国有建设用地使用成交公示信息、建设用地批准书、出让合同、登记公示</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项目信息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公告有效期内矿业权基本信息包括矿业权名称、许可证号、矿业权人、矿种、有效期限。</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每年一季度集中公告</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履约信息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履约信息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44</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政府采购</w:t>
            </w: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招标公告</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项目名称；项目编号；采购方式；采购内容；采购人名称及联系方式；采购机构名称及联系方式。</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信息形成之日起20个工作日内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采购结果</w:t>
            </w:r>
          </w:p>
        </w:tc>
        <w:tc>
          <w:tcPr>
            <w:tcW w:w="143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政府采购中标信息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信息形成之日起20个工作日内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实施情况</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政府采购实施情况</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信息形成之日起20个工作日内</w:t>
            </w:r>
          </w:p>
        </w:tc>
        <w:tc>
          <w:tcPr>
            <w:tcW w:w="94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431"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333333"/>
                <w:sz w:val="18"/>
                <w:szCs w:val="18"/>
                <w:u w:val="none"/>
              </w:rPr>
            </w:pPr>
          </w:p>
        </w:tc>
        <w:tc>
          <w:tcPr>
            <w:tcW w:w="946"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431"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333333"/>
                <w:sz w:val="18"/>
                <w:szCs w:val="18"/>
                <w:u w:val="none"/>
              </w:rPr>
            </w:pPr>
          </w:p>
        </w:tc>
        <w:tc>
          <w:tcPr>
            <w:tcW w:w="946"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08"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333333"/>
                <w:sz w:val="18"/>
                <w:szCs w:val="18"/>
                <w:u w:val="none"/>
              </w:rPr>
            </w:pP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■公共资源交易平台</w:t>
            </w:r>
          </w:p>
        </w:tc>
        <w:tc>
          <w:tcPr>
            <w:tcW w:w="908"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vMerge w:val="restart"/>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国有企业资产转让成交公告</w:t>
            </w:r>
          </w:p>
        </w:tc>
        <w:tc>
          <w:tcPr>
            <w:tcW w:w="1431"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交易标的名称、评估价格、转让底价、交易价格等。</w:t>
            </w:r>
          </w:p>
        </w:tc>
        <w:tc>
          <w:tcPr>
            <w:tcW w:w="1346"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及时公开，公告期不少于5个工作日</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■产权交易机构网站</w:t>
            </w:r>
          </w:p>
        </w:tc>
        <w:tc>
          <w:tcPr>
            <w:tcW w:w="9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文字、表格</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财政局（国资办）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431" w:type="dxa"/>
            <w:vMerge w:val="continue"/>
            <w:shd w:val="clear" w:color="auto" w:fill="FFFFFF"/>
            <w:vAlign w:val="center"/>
          </w:tcPr>
          <w:p>
            <w:pPr>
              <w:jc w:val="left"/>
              <w:rPr>
                <w:rFonts w:hint="eastAsia" w:ascii="宋体" w:hAnsi="宋体" w:eastAsia="宋体" w:cs="宋体"/>
                <w:i w:val="0"/>
                <w:iCs w:val="0"/>
                <w:color w:val="000000"/>
                <w:sz w:val="18"/>
                <w:szCs w:val="18"/>
                <w:u w:val="none"/>
              </w:rPr>
            </w:pPr>
          </w:p>
        </w:tc>
        <w:tc>
          <w:tcPr>
            <w:tcW w:w="1346" w:type="dxa"/>
            <w:vMerge w:val="continue"/>
            <w:shd w:val="clear" w:color="auto" w:fill="FFFFFF"/>
            <w:vAlign w:val="center"/>
          </w:tcPr>
          <w:p>
            <w:pPr>
              <w:rPr>
                <w:rFonts w:hint="eastAsia" w:ascii="宋体" w:hAnsi="宋体" w:eastAsia="宋体" w:cs="宋体"/>
                <w:i w:val="0"/>
                <w:iCs w:val="0"/>
                <w:color w:val="333333"/>
                <w:sz w:val="18"/>
                <w:szCs w:val="18"/>
                <w:u w:val="none"/>
              </w:rPr>
            </w:pP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■公共资源交易平台</w:t>
            </w:r>
          </w:p>
        </w:tc>
        <w:tc>
          <w:tcPr>
            <w:tcW w:w="908"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46</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工程建设项目招投标</w:t>
            </w: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招投标政策</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招投标相关政策</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各工程建设责任单位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招标事项审批核准备案信息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招标事项审批核准备案结果</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招标公告</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招标条件、项目概况与招标范围、投标人资格要求、招标文件获取、投标文件递交、发布公告的媒介等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中标候选人</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中标候选人排序、名称、投标报价、质量目标、工期或交货期，中标候选人按照招标文件要求承诺的项目负责人姓名、个人业绩、相关证书名称及编号，提出异议的渠道和方式等，招标文件规定公示的其他内容</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中标结果</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项目名称、招标单位、中标单位、中标总价、项目负责人</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47</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9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征地信息</w:t>
            </w: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征地信息</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征地告知书以及履行征地报批前程序的相关证明材料、建设项目用地呈报说明书、农用地转用方案、补充耕地方案、征收土地方案、供地方案、征地批后实施中征地公告、征地补偿安置方案公告等</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自政府信息形成或变更之日起20个工作日内予以公开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56</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涉农补贴</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农业农村部办公厅关于印发《涉农补贴领域基层政务公开标准指引》的通知（农办计财〔2019〕41号）</w:t>
            </w: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加大强农惠农政策公开力度，深入解读承包土地“三权分置”、农村产权制度改革、农村集体资产清产核资、农业补贴、农村劳动力转移就业、农民工返乡创业等政策措施，通过编印操作手册、组织专题培训、驻村干部讲解等方式，真正让农民群众看得到、听得懂。推动地方政府及时公开农村土地承包经营权确权登记颁证等工作进展情况，方便农民群众知情、参与和监督。</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农业农村局、乡村振兴局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58</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国土空间规划</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自然资源部关于印发《城乡规划领域基层政务公开标准指引》的通知（自然资办函〔2019〕981号）</w:t>
            </w: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城市、乡镇总体规划及同级的土地利用规划，城市、乡镇详细规划，</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61</w:t>
            </w:r>
          </w:p>
        </w:tc>
        <w:tc>
          <w:tcPr>
            <w:tcW w:w="1037"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疫情防控</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《国务院办公厅关于印发2020年度政务公开工作要点的通知》（国办发[2020]17号），“四、围绕突发事件应对加强公共卫生信息公开”</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疫情防控</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重点公开“疫情防控”工作方面的权威通知公告、防疫服务的情况。</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63</w:t>
            </w:r>
          </w:p>
        </w:tc>
        <w:tc>
          <w:tcPr>
            <w:tcW w:w="1037" w:type="dxa"/>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公共企事业单位信息公开</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国务院办公厅关于印发《公共企事业单位信息公开规定制定办法》的通知</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国办发〔2020〕50号</w:t>
            </w:r>
          </w:p>
          <w:p>
            <w:pPr>
              <w:rPr>
                <w:rFonts w:hint="eastAsia" w:ascii="宋体" w:hAnsi="宋体" w:eastAsia="宋体" w:cs="宋体"/>
                <w:i w:val="0"/>
                <w:iCs w:val="0"/>
                <w:color w:val="000000"/>
                <w:sz w:val="18"/>
                <w:szCs w:val="18"/>
                <w:u w:val="none"/>
              </w:rPr>
            </w:pP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（一）与人民群众日常生产生活密切相关的办事服务信息；</w:t>
            </w:r>
          </w:p>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（二）对营商环境影响较大的信息；</w:t>
            </w:r>
          </w:p>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（三）直接关系服务对象切身利益的信息；</w:t>
            </w:r>
          </w:p>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（四）事关生产安全和消费者人身财产安全的信息；</w:t>
            </w:r>
          </w:p>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（五）社会舆论关注度高、反映问题较多的信息；</w:t>
            </w:r>
          </w:p>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（六）其他应当公开的重要信息。</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公共企事业单位监管部门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64</w:t>
            </w:r>
          </w:p>
        </w:tc>
        <w:tc>
          <w:tcPr>
            <w:tcW w:w="1037" w:type="dxa"/>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助企纾困</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国务院办公厅关于印发2022年政务公开工作要点的通知</w:t>
            </w:r>
            <w:r>
              <w:rPr>
                <w:rFonts w:hint="eastAsia" w:ascii="宋体" w:hAnsi="宋体" w:eastAsia="宋体" w:cs="宋体"/>
                <w:i w:val="0"/>
                <w:iCs w:val="0"/>
                <w:color w:val="000000"/>
                <w:sz w:val="18"/>
                <w:szCs w:val="18"/>
                <w:u w:val="none"/>
                <w:lang w:eastAsia="zh-CN"/>
              </w:rPr>
              <w:t>（</w:t>
            </w:r>
            <w:r>
              <w:rPr>
                <w:rFonts w:hint="eastAsia" w:ascii="宋体" w:hAnsi="宋体" w:eastAsia="宋体" w:cs="宋体"/>
                <w:i w:val="0"/>
                <w:iCs w:val="0"/>
                <w:color w:val="000000"/>
                <w:sz w:val="18"/>
                <w:szCs w:val="18"/>
                <w:u w:val="none"/>
              </w:rPr>
              <w:t>国办发〔2022〕8号</w:t>
            </w:r>
            <w:r>
              <w:rPr>
                <w:rFonts w:hint="eastAsia" w:ascii="宋体" w:hAnsi="宋体" w:eastAsia="宋体" w:cs="宋体"/>
                <w:i w:val="0"/>
                <w:iCs w:val="0"/>
                <w:color w:val="000000"/>
                <w:sz w:val="18"/>
                <w:szCs w:val="18"/>
                <w:u w:val="none"/>
                <w:lang w:eastAsia="zh-CN"/>
              </w:rPr>
              <w:t>）</w:t>
            </w:r>
          </w:p>
          <w:p>
            <w:pPr>
              <w:rPr>
                <w:rFonts w:hint="eastAsia" w:ascii="宋体" w:hAnsi="宋体" w:eastAsia="宋体" w:cs="宋体"/>
                <w:i w:val="0"/>
                <w:iCs w:val="0"/>
                <w:color w:val="000000"/>
                <w:sz w:val="18"/>
                <w:szCs w:val="18"/>
                <w:u w:val="none"/>
              </w:rPr>
            </w:pP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加大受疫情影响重的餐饮、住宿、零售、文化、旅游、客运等行业帮扶政策的公开力度，促进稳就业和消费恢复。</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县交通运输局、县商务局、县文化广电和旅游局、县市场监管局、县税务局等相关部门，各县（区）政府（管委会）</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65</w:t>
            </w:r>
          </w:p>
        </w:tc>
        <w:tc>
          <w:tcPr>
            <w:tcW w:w="1037" w:type="dxa"/>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涉及市场主体信息</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国务院办公厅关于印发2022年政务公开工作要点的通知</w:t>
            </w:r>
            <w:r>
              <w:rPr>
                <w:rFonts w:hint="eastAsia" w:ascii="宋体" w:hAnsi="宋体" w:eastAsia="宋体" w:cs="宋体"/>
                <w:i w:val="0"/>
                <w:iCs w:val="0"/>
                <w:color w:val="000000"/>
                <w:sz w:val="18"/>
                <w:szCs w:val="18"/>
                <w:u w:val="none"/>
                <w:lang w:eastAsia="zh-CN"/>
              </w:rPr>
              <w:t>（</w:t>
            </w:r>
            <w:r>
              <w:rPr>
                <w:rFonts w:hint="eastAsia" w:ascii="宋体" w:hAnsi="宋体" w:eastAsia="宋体" w:cs="宋体"/>
                <w:i w:val="0"/>
                <w:iCs w:val="0"/>
                <w:color w:val="000000"/>
                <w:sz w:val="18"/>
                <w:szCs w:val="18"/>
                <w:u w:val="none"/>
              </w:rPr>
              <w:t>国办发〔2022〕8号</w:t>
            </w:r>
            <w:r>
              <w:rPr>
                <w:rFonts w:hint="eastAsia" w:ascii="宋体" w:hAnsi="宋体" w:eastAsia="宋体" w:cs="宋体"/>
                <w:i w:val="0"/>
                <w:iCs w:val="0"/>
                <w:color w:val="000000"/>
                <w:sz w:val="18"/>
                <w:szCs w:val="18"/>
                <w:u w:val="none"/>
                <w:lang w:eastAsia="zh-CN"/>
              </w:rPr>
              <w:t>）</w:t>
            </w:r>
          </w:p>
          <w:p>
            <w:pPr>
              <w:rPr>
                <w:rFonts w:hint="eastAsia" w:ascii="宋体" w:hAnsi="宋体" w:eastAsia="宋体" w:cs="宋体"/>
                <w:i w:val="0"/>
                <w:iCs w:val="0"/>
                <w:color w:val="000000"/>
                <w:sz w:val="18"/>
                <w:szCs w:val="18"/>
                <w:u w:val="none"/>
              </w:rPr>
            </w:pP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精准把握人民群众和</w:t>
            </w:r>
            <w:bookmarkStart w:id="0" w:name="_GoBack"/>
            <w:r>
              <w:rPr>
                <w:rFonts w:hint="eastAsia" w:ascii="宋体" w:hAnsi="宋体" w:eastAsia="宋体" w:cs="宋体"/>
                <w:i w:val="0"/>
                <w:iCs w:val="0"/>
                <w:color w:val="333333"/>
                <w:kern w:val="0"/>
                <w:sz w:val="18"/>
                <w:szCs w:val="18"/>
                <w:u w:val="none"/>
                <w:lang w:val="en-US" w:eastAsia="zh-CN" w:bidi="ar"/>
              </w:rPr>
              <w:t>市</w:t>
            </w:r>
            <w:bookmarkEnd w:id="0"/>
            <w:r>
              <w:rPr>
                <w:rFonts w:hint="eastAsia" w:ascii="宋体" w:hAnsi="宋体" w:eastAsia="宋体" w:cs="宋体"/>
                <w:i w:val="0"/>
                <w:iCs w:val="0"/>
                <w:color w:val="333333"/>
                <w:kern w:val="0"/>
                <w:sz w:val="18"/>
                <w:szCs w:val="18"/>
                <w:u w:val="none"/>
                <w:lang w:val="en-US" w:eastAsia="zh-CN" w:bidi="ar"/>
              </w:rPr>
              <w:t>场主体关切，提高涉及市场主体决策公开的靶向性和质量。围绕加快灾后恢复重建、创新驱动发展、构建现代产业体系、新型城镇化建设、推进乡村振兴、生态环境治理、民生事业发展等重点工作，及时公开进展情况、取得成效和后续举措，切实稳定市场预期，不断增强发展信心。增强政策制定实施的透明度和可预期性，持续打造市场化法治化国际化营商环境。</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发展改革委、县金融工作局、县工业和信息化局、县财政局、县人力资源社会保障局、县交通运输局、县住房城乡建设局、县农业农村局、县商务局、县文化广电和旅游局、县市场监管局等相关部门，各县（区）政府（管委会）</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66</w:t>
            </w:r>
          </w:p>
        </w:tc>
        <w:tc>
          <w:tcPr>
            <w:tcW w:w="1037" w:type="dxa"/>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涉及减税降费信息</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税费政策</w:t>
            </w:r>
          </w:p>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减税降费</w:t>
            </w: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国务院办公厅关于印发2022年政务公开工作要点的通知</w:t>
            </w:r>
            <w:r>
              <w:rPr>
                <w:rFonts w:hint="eastAsia" w:ascii="宋体" w:hAnsi="宋体" w:eastAsia="宋体" w:cs="宋体"/>
                <w:i w:val="0"/>
                <w:iCs w:val="0"/>
                <w:color w:val="000000"/>
                <w:sz w:val="18"/>
                <w:szCs w:val="18"/>
                <w:u w:val="none"/>
                <w:lang w:eastAsia="zh-CN"/>
              </w:rPr>
              <w:t>（</w:t>
            </w:r>
            <w:r>
              <w:rPr>
                <w:rFonts w:hint="eastAsia" w:ascii="宋体" w:hAnsi="宋体" w:eastAsia="宋体" w:cs="宋体"/>
                <w:i w:val="0"/>
                <w:iCs w:val="0"/>
                <w:color w:val="000000"/>
                <w:sz w:val="18"/>
                <w:szCs w:val="18"/>
                <w:u w:val="none"/>
              </w:rPr>
              <w:t>国办发〔2022〕8号</w:t>
            </w:r>
            <w:r>
              <w:rPr>
                <w:rFonts w:hint="eastAsia" w:ascii="宋体" w:hAnsi="宋体" w:eastAsia="宋体" w:cs="宋体"/>
                <w:i w:val="0"/>
                <w:iCs w:val="0"/>
                <w:color w:val="000000"/>
                <w:sz w:val="18"/>
                <w:szCs w:val="18"/>
                <w:u w:val="none"/>
                <w:lang w:eastAsia="zh-CN"/>
              </w:rPr>
              <w:t>）</w:t>
            </w:r>
          </w:p>
          <w:p>
            <w:pPr>
              <w:rPr>
                <w:rFonts w:hint="eastAsia" w:ascii="宋体" w:hAnsi="宋体" w:eastAsia="宋体" w:cs="宋体"/>
                <w:i w:val="0"/>
                <w:iCs w:val="0"/>
                <w:color w:val="000000"/>
                <w:sz w:val="18"/>
                <w:szCs w:val="18"/>
                <w:u w:val="none"/>
              </w:rPr>
            </w:pP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围绕持续优化营商环境、深化“万人助万企”活动，系统集成、智能推送已出台各项减税降费政策特别是大规模增值税留抵退税政策，帮助基层执行机关和纳税人缴费人第一时间全面准确了解政策，做到应知尽知、应享尽享。开展税收优惠政策咨询和政策辅导，优化12366纳税服务平台智能咨询功能。</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县税务局、县财政局、县工业和信息化局、县发展改革委、县人力资源社会保障局、县市场监管局、县金融工作局等相关部门，各县（区）政府（管委会）</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67</w:t>
            </w:r>
          </w:p>
        </w:tc>
        <w:tc>
          <w:tcPr>
            <w:tcW w:w="1037" w:type="dxa"/>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涉及扩大有效投资信息</w:t>
            </w:r>
          </w:p>
        </w:tc>
        <w:tc>
          <w:tcPr>
            <w:tcW w:w="87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18"/>
                <w:szCs w:val="18"/>
                <w:u w:val="none"/>
                <w:lang w:val="en-US" w:eastAsia="zh-CN" w:bidi="ar"/>
              </w:rPr>
            </w:pPr>
          </w:p>
        </w:tc>
        <w:tc>
          <w:tcPr>
            <w:tcW w:w="961" w:type="dxa"/>
            <w:shd w:val="clear" w:color="auto" w:fill="FFFFFF"/>
            <w:noWrap/>
            <w:vAlign w:val="center"/>
          </w:tcPr>
          <w:p>
            <w:pPr>
              <w:rPr>
                <w:rFonts w:hint="eastAsia" w:ascii="宋体" w:hAnsi="宋体" w:eastAsia="宋体" w:cs="宋体"/>
                <w:i w:val="0"/>
                <w:iCs w:val="0"/>
                <w:color w:val="000000"/>
                <w:sz w:val="18"/>
                <w:szCs w:val="18"/>
                <w:u w:val="none"/>
              </w:rPr>
            </w:pP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shd w:val="clear" w:color="auto" w:fill="FFFFFF"/>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国务院办公厅关于印发2022年政务公开工作要点的通知</w:t>
            </w:r>
            <w:r>
              <w:rPr>
                <w:rFonts w:hint="eastAsia" w:ascii="宋体" w:hAnsi="宋体" w:eastAsia="宋体" w:cs="宋体"/>
                <w:i w:val="0"/>
                <w:iCs w:val="0"/>
                <w:color w:val="000000"/>
                <w:sz w:val="18"/>
                <w:szCs w:val="18"/>
                <w:u w:val="none"/>
                <w:lang w:eastAsia="zh-CN"/>
              </w:rPr>
              <w:t>（</w:t>
            </w:r>
            <w:r>
              <w:rPr>
                <w:rFonts w:hint="eastAsia" w:ascii="宋体" w:hAnsi="宋体" w:eastAsia="宋体" w:cs="宋体"/>
                <w:i w:val="0"/>
                <w:iCs w:val="0"/>
                <w:color w:val="000000"/>
                <w:sz w:val="18"/>
                <w:szCs w:val="18"/>
                <w:u w:val="none"/>
              </w:rPr>
              <w:t>国办发〔2022〕8号</w:t>
            </w:r>
            <w:r>
              <w:rPr>
                <w:rFonts w:hint="eastAsia" w:ascii="宋体" w:hAnsi="宋体" w:eastAsia="宋体" w:cs="宋体"/>
                <w:i w:val="0"/>
                <w:iCs w:val="0"/>
                <w:color w:val="000000"/>
                <w:sz w:val="18"/>
                <w:szCs w:val="18"/>
                <w:u w:val="none"/>
                <w:lang w:eastAsia="zh-CN"/>
              </w:rPr>
              <w:t>）</w:t>
            </w:r>
          </w:p>
          <w:p>
            <w:pPr>
              <w:rPr>
                <w:rFonts w:hint="eastAsia" w:ascii="宋体" w:hAnsi="宋体" w:eastAsia="宋体" w:cs="宋体"/>
                <w:i w:val="0"/>
                <w:iCs w:val="0"/>
                <w:color w:val="000000"/>
                <w:sz w:val="18"/>
                <w:szCs w:val="18"/>
                <w:u w:val="none"/>
              </w:rPr>
            </w:pPr>
          </w:p>
        </w:tc>
        <w:tc>
          <w:tcPr>
            <w:tcW w:w="1149" w:type="dxa"/>
            <w:shd w:val="clear" w:color="auto" w:fill="FFFFFF"/>
            <w:noWrap/>
            <w:vAlign w:val="center"/>
          </w:tcPr>
          <w:p>
            <w:pPr>
              <w:rPr>
                <w:rFonts w:hint="eastAsia" w:ascii="宋体" w:hAnsi="宋体" w:eastAsia="宋体" w:cs="宋体"/>
                <w:i w:val="0"/>
                <w:iCs w:val="0"/>
                <w:color w:val="000000"/>
                <w:sz w:val="18"/>
                <w:szCs w:val="18"/>
                <w:u w:val="none"/>
              </w:rPr>
            </w:pP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kern w:val="0"/>
                <w:sz w:val="18"/>
                <w:szCs w:val="18"/>
                <w:u w:val="none"/>
                <w:lang w:val="en-US" w:eastAsia="zh-CN" w:bidi="ar"/>
              </w:rPr>
            </w:pPr>
            <w:r>
              <w:rPr>
                <w:rFonts w:hint="eastAsia" w:ascii="宋体" w:hAnsi="宋体" w:eastAsia="宋体" w:cs="宋体"/>
                <w:i w:val="0"/>
                <w:iCs w:val="0"/>
                <w:color w:val="333333"/>
                <w:kern w:val="0"/>
                <w:sz w:val="18"/>
                <w:szCs w:val="18"/>
                <w:u w:val="none"/>
                <w:lang w:val="en-US" w:eastAsia="zh-CN" w:bidi="ar"/>
              </w:rPr>
              <w:t>认真贯彻落实省委和市委、县委经济工作会议精神、省政府和市政府《政府工作报告》要求，依法依规做好扩大有效投资相关规划、政策文件及重大建设项目信息公开工作，加大释放消费需求、持续推进“三个一批”等信息公开力度，积极引导市场预期。</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自该信息形成或者变更之日起20个工作日内</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县发展改革委、县商务局、县工业和信息化局、县交通运输局、县水利局、县自然资源和规划局、县住房城乡建设局、县财政局、县金融管理局等相关部门，各县（区）政府（管委会）</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restart"/>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333333"/>
                <w:sz w:val="18"/>
                <w:szCs w:val="18"/>
                <w:u w:val="none"/>
                <w:lang w:val="en-US"/>
              </w:rPr>
            </w:pPr>
            <w:r>
              <w:rPr>
                <w:rFonts w:hint="eastAsia" w:ascii="宋体" w:hAnsi="宋体" w:eastAsia="宋体" w:cs="宋体"/>
                <w:i w:val="0"/>
                <w:iCs w:val="0"/>
                <w:color w:val="333333"/>
                <w:kern w:val="0"/>
                <w:sz w:val="18"/>
                <w:szCs w:val="18"/>
                <w:u w:val="none"/>
                <w:lang w:val="en-US" w:eastAsia="zh-CN" w:bidi="ar"/>
              </w:rPr>
              <w:t>68</w:t>
            </w:r>
          </w:p>
        </w:tc>
        <w:tc>
          <w:tcPr>
            <w:tcW w:w="103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w:t>
            </w:r>
          </w:p>
        </w:tc>
        <w:tc>
          <w:tcPr>
            <w:tcW w:w="87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w:t>
            </w: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依申请公开指南</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1.《中华人民共和国政府信息公开条例》</w:t>
            </w: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依申请公开指南</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依申请公开指南（包括申请方式、受理机构、受理程序、收费标准）</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依申请公开流程</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依申请公开流程</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依申请公开流程图</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依申请网上申请</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依申请网上申请</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依申请网上申请</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076" w:type="dxa"/>
            <w:vMerge w:val="continue"/>
            <w:shd w:val="clear" w:color="auto" w:fill="FFFFFF"/>
            <w:vAlign w:val="center"/>
          </w:tcPr>
          <w:p>
            <w:pPr>
              <w:jc w:val="center"/>
              <w:rPr>
                <w:rFonts w:hint="eastAsia" w:ascii="宋体" w:hAnsi="宋体" w:eastAsia="宋体" w:cs="宋体"/>
                <w:i w:val="0"/>
                <w:iCs w:val="0"/>
                <w:color w:val="333333"/>
                <w:sz w:val="18"/>
                <w:szCs w:val="18"/>
                <w:u w:val="none"/>
              </w:rPr>
            </w:pPr>
          </w:p>
        </w:tc>
        <w:tc>
          <w:tcPr>
            <w:tcW w:w="1037"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87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申请表格下载</w:t>
            </w:r>
          </w:p>
        </w:tc>
        <w:tc>
          <w:tcPr>
            <w:tcW w:w="1093" w:type="dxa"/>
            <w:shd w:val="clear" w:color="auto" w:fill="FFFFFF"/>
            <w:noWrap/>
            <w:vAlign w:val="center"/>
          </w:tcPr>
          <w:p>
            <w:pPr>
              <w:rPr>
                <w:rFonts w:hint="eastAsia" w:ascii="宋体" w:hAnsi="宋体" w:eastAsia="宋体" w:cs="宋体"/>
                <w:i w:val="0"/>
                <w:iCs w:val="0"/>
                <w:color w:val="000000"/>
                <w:sz w:val="18"/>
                <w:szCs w:val="18"/>
                <w:u w:val="none"/>
              </w:rPr>
            </w:pPr>
          </w:p>
        </w:tc>
        <w:tc>
          <w:tcPr>
            <w:tcW w:w="884" w:type="dxa"/>
            <w:shd w:val="clear" w:color="auto" w:fill="FFFFFF"/>
            <w:noWrap/>
            <w:vAlign w:val="center"/>
          </w:tcPr>
          <w:p>
            <w:pPr>
              <w:rPr>
                <w:rFonts w:hint="eastAsia" w:ascii="宋体" w:hAnsi="宋体" w:eastAsia="宋体" w:cs="宋体"/>
                <w:i w:val="0"/>
                <w:iCs w:val="0"/>
                <w:color w:val="000000"/>
                <w:sz w:val="18"/>
                <w:szCs w:val="18"/>
                <w:u w:val="none"/>
              </w:rPr>
            </w:pPr>
          </w:p>
        </w:tc>
        <w:tc>
          <w:tcPr>
            <w:tcW w:w="150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申请表格下载</w:t>
            </w:r>
          </w:p>
        </w:tc>
        <w:tc>
          <w:tcPr>
            <w:tcW w:w="143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申请表格</w:t>
            </w:r>
          </w:p>
        </w:tc>
        <w:tc>
          <w:tcPr>
            <w:tcW w:w="13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及时公开</w:t>
            </w:r>
          </w:p>
        </w:tc>
        <w:tc>
          <w:tcPr>
            <w:tcW w:w="94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政府网站</w:t>
            </w:r>
          </w:p>
        </w:tc>
        <w:tc>
          <w:tcPr>
            <w:tcW w:w="9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文字、表格</w:t>
            </w:r>
          </w:p>
        </w:tc>
        <w:tc>
          <w:tcPr>
            <w:tcW w:w="115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各有关单位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N2Q2ODkzNzkxOTI5ODQ0ZGZkMWM2ZTVkYWU0MGIifQ=="/>
  </w:docVars>
  <w:rsids>
    <w:rsidRoot w:val="2DA26633"/>
    <w:rsid w:val="0A81786A"/>
    <w:rsid w:val="167F4E7B"/>
    <w:rsid w:val="189A6B9F"/>
    <w:rsid w:val="19475E75"/>
    <w:rsid w:val="2DA26633"/>
    <w:rsid w:val="420A1D74"/>
    <w:rsid w:val="4719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14159</Words>
  <Characters>14647</Characters>
  <Lines>0</Lines>
  <Paragraphs>0</Paragraphs>
  <TotalTime>2</TotalTime>
  <ScaleCrop>false</ScaleCrop>
  <LinksUpToDate>false</LinksUpToDate>
  <CharactersWithSpaces>14925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2023-05-18T13:40:00Z</dcterms:created>
  <dc:creator>Move on</dc:creator>
  <cp:lastModifiedBy>LENOVO</cp:lastModifiedBy>
  <dcterms:modified xsi:type="dcterms:W3CDTF">2023-06-09T08:56:23Z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D27F1CADCE5B45C7B6A01854828263BC_11</vt:lpwstr>
  </property>
</Properties>
</file>