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rPr>
      </w:pPr>
    </w:p>
    <w:p>
      <w:pPr>
        <w:rPr>
          <w:rFonts w:ascii="Times New Roman" w:hAnsi="Times New Roman"/>
        </w:rPr>
      </w:pPr>
    </w:p>
    <w:p>
      <w:pPr>
        <w:jc w:val="center"/>
        <w:rPr>
          <w:rFonts w:ascii="Times New Roman" w:hAnsi="Times New Roman" w:eastAsia="黑体"/>
          <w:sz w:val="52"/>
          <w:szCs w:val="52"/>
        </w:rPr>
      </w:pPr>
    </w:p>
    <w:p>
      <w:pPr>
        <w:jc w:val="center"/>
        <w:rPr>
          <w:rFonts w:hint="eastAsia" w:ascii="方正小标宋_GBK" w:hAnsi="方正小标宋_GBK" w:eastAsia="方正小标宋_GBK" w:cs="方正小标宋_GBK"/>
          <w:b w:val="0"/>
          <w:bCs/>
          <w:sz w:val="44"/>
          <w:szCs w:val="44"/>
        </w:rPr>
      </w:pPr>
      <w:bookmarkStart w:id="167" w:name="_GoBack"/>
      <w:r>
        <w:rPr>
          <w:rFonts w:hint="eastAsia" w:ascii="方正小标宋_GBK" w:hAnsi="方正小标宋_GBK" w:eastAsia="方正小标宋_GBK" w:cs="方正小标宋_GBK"/>
          <w:b w:val="0"/>
          <w:bCs/>
          <w:sz w:val="44"/>
          <w:szCs w:val="44"/>
        </w:rPr>
        <w:t>夏邑县国民经济和社会发展第十四个五年规划和二〇三五年远景目标纲要</w:t>
      </w:r>
    </w:p>
    <w:bookmarkEnd w:id="167"/>
    <w:p>
      <w:pPr>
        <w:jc w:val="center"/>
        <w:rPr>
          <w:rFonts w:ascii="Times New Roman" w:hAnsi="Times New Roman" w:eastAsia="黑体"/>
          <w:sz w:val="52"/>
          <w:szCs w:val="52"/>
        </w:rPr>
      </w:pPr>
    </w:p>
    <w:p>
      <w:pPr>
        <w:jc w:val="center"/>
        <w:rPr>
          <w:rFonts w:ascii="Times New Roman" w:hAnsi="Times New Roman" w:eastAsia="黑体"/>
          <w:sz w:val="52"/>
          <w:szCs w:val="52"/>
        </w:rPr>
      </w:pPr>
    </w:p>
    <w:p>
      <w:pPr>
        <w:jc w:val="center"/>
        <w:rPr>
          <w:rFonts w:ascii="Times New Roman" w:hAnsi="Times New Roman" w:eastAsia="黑体"/>
          <w:sz w:val="52"/>
          <w:szCs w:val="52"/>
        </w:rPr>
      </w:pPr>
    </w:p>
    <w:p>
      <w:pPr>
        <w:jc w:val="center"/>
        <w:rPr>
          <w:rFonts w:ascii="Times New Roman" w:hAnsi="Times New Roman" w:eastAsia="黑体"/>
          <w:sz w:val="52"/>
          <w:szCs w:val="52"/>
        </w:rPr>
      </w:pPr>
    </w:p>
    <w:p>
      <w:pPr>
        <w:jc w:val="center"/>
        <w:rPr>
          <w:rFonts w:ascii="Times New Roman" w:hAnsi="Times New Roman" w:eastAsia="黑体"/>
          <w:sz w:val="52"/>
          <w:szCs w:val="52"/>
        </w:rPr>
      </w:pPr>
    </w:p>
    <w:p>
      <w:pPr>
        <w:jc w:val="center"/>
        <w:rPr>
          <w:rFonts w:ascii="Times New Roman" w:hAnsi="Times New Roman" w:eastAsia="黑体"/>
          <w:sz w:val="52"/>
          <w:szCs w:val="52"/>
        </w:rPr>
      </w:pPr>
    </w:p>
    <w:p>
      <w:pPr>
        <w:pStyle w:val="2"/>
        <w:rPr>
          <w:rFonts w:ascii="Times New Roman" w:hAnsi="Times New Roman" w:eastAsia="黑体"/>
          <w:sz w:val="52"/>
          <w:szCs w:val="52"/>
        </w:rPr>
      </w:pPr>
    </w:p>
    <w:p>
      <w:pPr>
        <w:pStyle w:val="2"/>
        <w:rPr>
          <w:rFonts w:ascii="Times New Roman" w:hAnsi="Times New Roman" w:eastAsia="黑体"/>
          <w:sz w:val="52"/>
          <w:szCs w:val="52"/>
        </w:rPr>
      </w:pPr>
    </w:p>
    <w:p>
      <w:pPr>
        <w:pStyle w:val="2"/>
        <w:rPr>
          <w:rFonts w:ascii="Times New Roman" w:hAnsi="Times New Roman" w:eastAsia="黑体"/>
          <w:sz w:val="52"/>
          <w:szCs w:val="52"/>
        </w:rPr>
      </w:pPr>
    </w:p>
    <w:p>
      <w:pPr>
        <w:pStyle w:val="2"/>
        <w:rPr>
          <w:rFonts w:ascii="Times New Roman" w:hAnsi="Times New Roman" w:eastAsia="黑体"/>
          <w:sz w:val="52"/>
          <w:szCs w:val="52"/>
        </w:rPr>
      </w:pPr>
    </w:p>
    <w:p>
      <w:pPr>
        <w:pStyle w:val="2"/>
        <w:rPr>
          <w:rFonts w:ascii="Times New Roman" w:hAnsi="Times New Roman" w:eastAsia="黑体"/>
          <w:sz w:val="52"/>
          <w:szCs w:val="52"/>
        </w:rPr>
      </w:pPr>
    </w:p>
    <w:p>
      <w:pPr>
        <w:jc w:val="center"/>
        <w:rPr>
          <w:rFonts w:ascii="Times New Roman" w:hAnsi="Times New Roman" w:eastAsia="黑体"/>
          <w:sz w:val="52"/>
          <w:szCs w:val="52"/>
        </w:rPr>
      </w:pPr>
    </w:p>
    <w:p>
      <w:pPr>
        <w:jc w:val="center"/>
        <w:rPr>
          <w:rFonts w:ascii="Times New Roman" w:hAnsi="Times New Roman" w:eastAsia="黑体"/>
          <w:sz w:val="52"/>
          <w:szCs w:val="52"/>
        </w:rPr>
      </w:pPr>
    </w:p>
    <w:p>
      <w:pPr>
        <w:jc w:val="center"/>
        <w:rPr>
          <w:rFonts w:ascii="Times New Roman" w:hAnsi="Times New Roman" w:eastAsia="黑体"/>
          <w:sz w:val="52"/>
          <w:szCs w:val="52"/>
        </w:rPr>
      </w:pPr>
    </w:p>
    <w:p>
      <w:pPr>
        <w:jc w:val="center"/>
        <w:rPr>
          <w:rFonts w:hint="eastAsia" w:ascii="Times New Roman" w:hAnsi="Times New Roman" w:eastAsia="楷体_GB2312"/>
          <w:bCs/>
          <w:sz w:val="36"/>
          <w:szCs w:val="36"/>
          <w:lang w:eastAsia="zh-CN"/>
        </w:rPr>
      </w:pPr>
      <w:r>
        <w:rPr>
          <w:rFonts w:hint="eastAsia" w:ascii="Times New Roman" w:hAnsi="Times New Roman" w:eastAsia="楷体_GB2312"/>
          <w:bCs/>
          <w:sz w:val="36"/>
          <w:szCs w:val="36"/>
        </w:rPr>
        <w:t>夏邑县</w:t>
      </w:r>
      <w:r>
        <w:rPr>
          <w:rFonts w:hint="eastAsia" w:ascii="Times New Roman" w:hAnsi="Times New Roman" w:eastAsia="楷体_GB2312"/>
          <w:bCs/>
          <w:sz w:val="36"/>
          <w:szCs w:val="36"/>
          <w:lang w:eastAsia="zh-CN"/>
        </w:rPr>
        <w:t>人民政府</w:t>
      </w:r>
    </w:p>
    <w:p>
      <w:pPr>
        <w:jc w:val="center"/>
        <w:rPr>
          <w:rFonts w:ascii="Times New Roman" w:hAnsi="Times New Roman" w:eastAsia="楷体"/>
          <w:sz w:val="22"/>
          <w:szCs w:val="30"/>
        </w:rPr>
        <w:sectPr>
          <w:footerReference r:id="rId4" w:type="default"/>
          <w:pgSz w:w="11906" w:h="16838"/>
          <w:pgMar w:top="1440" w:right="1800" w:bottom="1440" w:left="1800" w:header="851" w:footer="992" w:gutter="0"/>
          <w:cols w:space="425" w:num="1"/>
          <w:docGrid w:type="lines" w:linePitch="312" w:charSpace="0"/>
        </w:sectPr>
      </w:pPr>
      <w:r>
        <w:rPr>
          <w:rFonts w:hint="eastAsia" w:ascii="Times New Roman" w:hAnsi="Times New Roman" w:eastAsia="楷体_GB2312"/>
          <w:bCs/>
          <w:sz w:val="36"/>
          <w:szCs w:val="36"/>
        </w:rPr>
        <w:t>202</w:t>
      </w:r>
      <w:r>
        <w:rPr>
          <w:rFonts w:ascii="Times New Roman" w:hAnsi="Times New Roman" w:eastAsia="楷体_GB2312"/>
          <w:bCs/>
          <w:sz w:val="36"/>
          <w:szCs w:val="36"/>
        </w:rPr>
        <w:t>1</w:t>
      </w:r>
      <w:r>
        <w:rPr>
          <w:rFonts w:hint="eastAsia" w:ascii="Times New Roman" w:hAnsi="Times New Roman" w:eastAsia="楷体_GB2312"/>
          <w:bCs/>
          <w:sz w:val="36"/>
          <w:szCs w:val="36"/>
        </w:rPr>
        <w:t>年</w:t>
      </w:r>
      <w:r>
        <w:rPr>
          <w:rFonts w:hint="eastAsia" w:ascii="Times New Roman" w:hAnsi="Times New Roman" w:eastAsia="楷体_GB2312"/>
          <w:bCs/>
          <w:sz w:val="36"/>
          <w:szCs w:val="36"/>
          <w:lang w:val="en-US" w:eastAsia="zh-CN"/>
        </w:rPr>
        <w:t>9</w:t>
      </w:r>
      <w:r>
        <w:rPr>
          <w:rFonts w:hint="eastAsia" w:ascii="Times New Roman" w:hAnsi="Times New Roman" w:eastAsia="楷体_GB2312"/>
          <w:bCs/>
          <w:sz w:val="36"/>
          <w:szCs w:val="36"/>
        </w:rPr>
        <w:t>月</w:t>
      </w:r>
    </w:p>
    <w:sdt>
      <w:sdtPr>
        <w:rPr>
          <w:rFonts w:ascii="Times New Roman" w:hAnsi="Times New Roman" w:eastAsiaTheme="minorEastAsia" w:cstheme="minorBidi"/>
          <w:color w:val="auto"/>
          <w:kern w:val="2"/>
          <w:sz w:val="21"/>
          <w:szCs w:val="22"/>
          <w:lang w:val="zh-CN"/>
        </w:rPr>
        <w:id w:val="550275214"/>
        <w:docPartObj>
          <w:docPartGallery w:val="Table of Contents"/>
          <w:docPartUnique/>
        </w:docPartObj>
      </w:sdtPr>
      <w:sdtEndPr>
        <w:rPr>
          <w:rFonts w:ascii="Times New Roman" w:hAnsi="Times New Roman" w:eastAsiaTheme="minorEastAsia" w:cstheme="minorBidi"/>
          <w:b/>
          <w:bCs/>
          <w:color w:val="auto"/>
          <w:kern w:val="2"/>
          <w:sz w:val="28"/>
          <w:szCs w:val="28"/>
          <w:lang w:val="zh-CN"/>
        </w:rPr>
      </w:sdtEndPr>
      <w:sdtContent>
        <w:p>
          <w:pPr>
            <w:pStyle w:val="40"/>
            <w:keepNext w:val="0"/>
            <w:keepLines w:val="0"/>
            <w:widowControl w:val="0"/>
            <w:jc w:val="center"/>
            <w:rPr>
              <w:rFonts w:ascii="Times New Roman" w:hAnsi="Times New Roman" w:eastAsia="黑体"/>
              <w:b/>
              <w:color w:val="auto"/>
              <w:lang w:val="zh-CN"/>
            </w:rPr>
          </w:pPr>
          <w:r>
            <w:rPr>
              <w:rFonts w:hint="eastAsia" w:ascii="Times New Roman" w:hAnsi="Times New Roman" w:eastAsia="黑体"/>
              <w:b/>
              <w:color w:val="auto"/>
              <w:lang w:val="zh-CN"/>
            </w:rPr>
            <w:t>目</w:t>
          </w:r>
          <w:r>
            <w:rPr>
              <w:rFonts w:ascii="Times New Roman" w:hAnsi="Times New Roman" w:eastAsia="黑体"/>
              <w:b/>
              <w:color w:val="auto"/>
              <w:lang w:val="zh-CN"/>
            </w:rPr>
            <w:t xml:space="preserve">  </w:t>
          </w:r>
          <w:r>
            <w:rPr>
              <w:rFonts w:hint="eastAsia" w:ascii="Times New Roman" w:hAnsi="Times New Roman" w:eastAsia="黑体"/>
              <w:b/>
              <w:color w:val="auto"/>
              <w:lang w:val="zh-CN"/>
            </w:rPr>
            <w:t>录</w:t>
          </w:r>
        </w:p>
        <w:p>
          <w:pPr>
            <w:rPr>
              <w:rFonts w:ascii="Times New Roman" w:hAnsi="Times New Roman"/>
              <w:lang w:val="zh-CN"/>
            </w:rPr>
          </w:pPr>
        </w:p>
        <w:p>
          <w:pPr>
            <w:pStyle w:val="10"/>
            <w:tabs>
              <w:tab w:val="right" w:leader="dot" w:pos="8296"/>
            </w:tabs>
            <w:spacing w:line="560" w:lineRule="exact"/>
            <w:rPr>
              <w:sz w:val="28"/>
              <w:szCs w:val="28"/>
            </w:rPr>
          </w:pPr>
          <w:r>
            <w:rPr>
              <w:rFonts w:ascii="Times New Roman" w:hAnsi="Times New Roman"/>
              <w:sz w:val="28"/>
              <w:szCs w:val="28"/>
            </w:rPr>
            <w:fldChar w:fldCharType="begin"/>
          </w:r>
          <w:r>
            <w:rPr>
              <w:rFonts w:ascii="Times New Roman" w:hAnsi="Times New Roman"/>
              <w:sz w:val="28"/>
              <w:szCs w:val="28"/>
            </w:rPr>
            <w:instrText xml:space="preserve"> TOC \o "1-2" \h \z \u </w:instrText>
          </w:r>
          <w:r>
            <w:rPr>
              <w:rFonts w:ascii="Times New Roman" w:hAnsi="Times New Roman"/>
              <w:sz w:val="28"/>
              <w:szCs w:val="28"/>
            </w:rPr>
            <w:fldChar w:fldCharType="separate"/>
          </w:r>
          <w:r>
            <w:fldChar w:fldCharType="begin"/>
          </w:r>
          <w:r>
            <w:instrText xml:space="preserve"> HYPERLINK \l "_Toc65060496" </w:instrText>
          </w:r>
          <w:r>
            <w:fldChar w:fldCharType="separate"/>
          </w:r>
          <w:r>
            <w:rPr>
              <w:rStyle w:val="19"/>
              <w:rFonts w:ascii="Times New Roman" w:hAnsi="Times New Roman" w:eastAsia="黑体" w:cs="Times New Roman"/>
              <w:sz w:val="28"/>
              <w:szCs w:val="28"/>
            </w:rPr>
            <w:t>一、全面建成小康社会，开启全面建设社会主义现代化夏邑新征程</w:t>
          </w:r>
          <w:r>
            <w:rPr>
              <w:sz w:val="28"/>
              <w:szCs w:val="28"/>
            </w:rPr>
            <w:tab/>
          </w:r>
          <w:r>
            <w:rPr>
              <w:sz w:val="28"/>
              <w:szCs w:val="28"/>
            </w:rPr>
            <w:fldChar w:fldCharType="begin"/>
          </w:r>
          <w:r>
            <w:rPr>
              <w:sz w:val="28"/>
              <w:szCs w:val="28"/>
            </w:rPr>
            <w:instrText xml:space="preserve"> PAGEREF _Toc65060496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"_Toc65060497" </w:instrText>
          </w:r>
          <w:r>
            <w:fldChar w:fldCharType="separate"/>
          </w:r>
          <w:r>
            <w:rPr>
              <w:rStyle w:val="19"/>
              <w:rFonts w:ascii="Times New Roman" w:hAnsi="Times New Roman" w:eastAsia="楷体"/>
              <w:sz w:val="28"/>
              <w:szCs w:val="28"/>
            </w:rPr>
            <w:t>（一）决胜全面建成小康社会取得决定性成就</w:t>
          </w:r>
          <w:r>
            <w:rPr>
              <w:sz w:val="28"/>
              <w:szCs w:val="28"/>
            </w:rPr>
            <w:tab/>
          </w:r>
          <w:r>
            <w:rPr>
              <w:sz w:val="28"/>
              <w:szCs w:val="28"/>
            </w:rPr>
            <w:fldChar w:fldCharType="begin"/>
          </w:r>
          <w:r>
            <w:rPr>
              <w:sz w:val="28"/>
              <w:szCs w:val="28"/>
            </w:rPr>
            <w:instrText xml:space="preserve"> PAGEREF _Toc65060497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"_Toc65060498" </w:instrText>
          </w:r>
          <w:r>
            <w:fldChar w:fldCharType="separate"/>
          </w:r>
          <w:r>
            <w:rPr>
              <w:rStyle w:val="19"/>
              <w:rFonts w:ascii="Times New Roman" w:hAnsi="Times New Roman" w:eastAsia="楷体"/>
              <w:sz w:val="28"/>
              <w:szCs w:val="28"/>
            </w:rPr>
            <w:t>（二）新发展阶段面临的新机遇新挑战</w:t>
          </w:r>
          <w:r>
            <w:rPr>
              <w:sz w:val="28"/>
              <w:szCs w:val="28"/>
            </w:rPr>
            <w:tab/>
          </w:r>
          <w:r>
            <w:rPr>
              <w:sz w:val="28"/>
              <w:szCs w:val="28"/>
            </w:rPr>
            <w:fldChar w:fldCharType="begin"/>
          </w:r>
          <w:r>
            <w:rPr>
              <w:sz w:val="28"/>
              <w:szCs w:val="28"/>
            </w:rPr>
            <w:instrText xml:space="preserve"> PAGEREF _Toc65060498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"_Toc65060499" </w:instrText>
          </w:r>
          <w:r>
            <w:fldChar w:fldCharType="separate"/>
          </w:r>
          <w:r>
            <w:rPr>
              <w:rStyle w:val="19"/>
              <w:rFonts w:ascii="Times New Roman" w:hAnsi="Times New Roman" w:eastAsia="楷体"/>
              <w:sz w:val="28"/>
              <w:szCs w:val="28"/>
            </w:rPr>
            <w:t>（三）“十四五”时期经济社会发展的总体要求</w:t>
          </w:r>
          <w:r>
            <w:rPr>
              <w:sz w:val="28"/>
              <w:szCs w:val="28"/>
            </w:rPr>
            <w:tab/>
          </w:r>
          <w:r>
            <w:rPr>
              <w:sz w:val="28"/>
              <w:szCs w:val="28"/>
            </w:rPr>
            <w:fldChar w:fldCharType="begin"/>
          </w:r>
          <w:r>
            <w:rPr>
              <w:sz w:val="28"/>
              <w:szCs w:val="28"/>
            </w:rPr>
            <w:instrText xml:space="preserve"> PAGEREF _Toc65060499 \h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"_Toc65060500" </w:instrText>
          </w:r>
          <w:r>
            <w:fldChar w:fldCharType="separate"/>
          </w:r>
          <w:r>
            <w:rPr>
              <w:rStyle w:val="19"/>
              <w:rFonts w:ascii="Times New Roman" w:hAnsi="Times New Roman" w:eastAsia="楷体"/>
              <w:sz w:val="28"/>
              <w:szCs w:val="28"/>
            </w:rPr>
            <w:t>（四）“十四五”时期经济社会发展定位和主要目标</w:t>
          </w:r>
          <w:r>
            <w:rPr>
              <w:sz w:val="28"/>
              <w:szCs w:val="28"/>
            </w:rPr>
            <w:tab/>
          </w:r>
          <w:r>
            <w:rPr>
              <w:sz w:val="28"/>
              <w:szCs w:val="28"/>
            </w:rPr>
            <w:fldChar w:fldCharType="begin"/>
          </w:r>
          <w:r>
            <w:rPr>
              <w:sz w:val="28"/>
              <w:szCs w:val="28"/>
            </w:rPr>
            <w:instrText xml:space="preserve"> PAGEREF _Toc65060500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"_Toc65060501" </w:instrText>
          </w:r>
          <w:r>
            <w:fldChar w:fldCharType="separate"/>
          </w:r>
          <w:r>
            <w:rPr>
              <w:rStyle w:val="19"/>
              <w:rFonts w:ascii="Times New Roman" w:hAnsi="Times New Roman" w:eastAsia="楷体"/>
              <w:sz w:val="28"/>
              <w:szCs w:val="28"/>
            </w:rPr>
            <w:t>（五）到2035年高水平基本实现现代化的远景目标</w:t>
          </w:r>
          <w:r>
            <w:rPr>
              <w:sz w:val="28"/>
              <w:szCs w:val="28"/>
            </w:rPr>
            <w:tab/>
          </w:r>
          <w:r>
            <w:rPr>
              <w:sz w:val="28"/>
              <w:szCs w:val="28"/>
            </w:rPr>
            <w:fldChar w:fldCharType="begin"/>
          </w:r>
          <w:r>
            <w:rPr>
              <w:sz w:val="28"/>
              <w:szCs w:val="28"/>
            </w:rPr>
            <w:instrText xml:space="preserve"> PAGEREF _Toc65060501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10"/>
            <w:tabs>
              <w:tab w:val="right" w:leader="dot" w:pos="8296"/>
            </w:tabs>
            <w:spacing w:line="560" w:lineRule="exact"/>
            <w:rPr>
              <w:sz w:val="28"/>
              <w:szCs w:val="28"/>
            </w:rPr>
          </w:pPr>
          <w:r>
            <w:fldChar w:fldCharType="begin"/>
          </w:r>
          <w:r>
            <w:instrText xml:space="preserve"> HYPERLINK \l "_Toc65060502" </w:instrText>
          </w:r>
          <w:r>
            <w:fldChar w:fldCharType="separate"/>
          </w:r>
          <w:r>
            <w:rPr>
              <w:rStyle w:val="19"/>
              <w:rFonts w:ascii="Times New Roman" w:hAnsi="Times New Roman" w:eastAsia="黑体" w:cs="Times New Roman"/>
              <w:sz w:val="28"/>
              <w:szCs w:val="28"/>
            </w:rPr>
            <w:t>二、全面推进融合联动发展，构建区域协调发展新机制</w:t>
          </w:r>
          <w:r>
            <w:rPr>
              <w:sz w:val="28"/>
              <w:szCs w:val="28"/>
            </w:rPr>
            <w:tab/>
          </w:r>
          <w:r>
            <w:rPr>
              <w:sz w:val="28"/>
              <w:szCs w:val="28"/>
            </w:rPr>
            <w:fldChar w:fldCharType="begin"/>
          </w:r>
          <w:r>
            <w:rPr>
              <w:sz w:val="28"/>
              <w:szCs w:val="28"/>
            </w:rPr>
            <w:instrText xml:space="preserve"> PAGEREF _Toc65060502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"_Toc65060503" </w:instrText>
          </w:r>
          <w:r>
            <w:fldChar w:fldCharType="separate"/>
          </w:r>
          <w:r>
            <w:rPr>
              <w:rStyle w:val="19"/>
              <w:rFonts w:ascii="Times New Roman" w:hAnsi="Times New Roman" w:eastAsia="楷体"/>
              <w:sz w:val="28"/>
              <w:szCs w:val="28"/>
            </w:rPr>
            <w:t>（一）全面建设黄河流域生态保护和高质量发展样板区</w:t>
          </w:r>
          <w:r>
            <w:rPr>
              <w:sz w:val="28"/>
              <w:szCs w:val="28"/>
            </w:rPr>
            <w:tab/>
          </w:r>
          <w:r>
            <w:rPr>
              <w:sz w:val="28"/>
              <w:szCs w:val="28"/>
            </w:rPr>
            <w:fldChar w:fldCharType="begin"/>
          </w:r>
          <w:r>
            <w:rPr>
              <w:sz w:val="28"/>
              <w:szCs w:val="28"/>
            </w:rPr>
            <w:instrText xml:space="preserve"> PAGEREF _Toc65060503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"_Toc65060504" </w:instrText>
          </w:r>
          <w:r>
            <w:fldChar w:fldCharType="separate"/>
          </w:r>
          <w:r>
            <w:rPr>
              <w:rStyle w:val="19"/>
              <w:rFonts w:ascii="Times New Roman" w:hAnsi="Times New Roman" w:eastAsia="楷体"/>
              <w:sz w:val="28"/>
              <w:szCs w:val="28"/>
            </w:rPr>
            <w:t>（二）加快建设全面接轨长三角先行区</w:t>
          </w:r>
          <w:r>
            <w:rPr>
              <w:sz w:val="28"/>
              <w:szCs w:val="28"/>
            </w:rPr>
            <w:tab/>
          </w:r>
          <w:r>
            <w:rPr>
              <w:sz w:val="28"/>
              <w:szCs w:val="28"/>
            </w:rPr>
            <w:fldChar w:fldCharType="begin"/>
          </w:r>
          <w:r>
            <w:rPr>
              <w:sz w:val="28"/>
              <w:szCs w:val="28"/>
            </w:rPr>
            <w:instrText xml:space="preserve"> PAGEREF _Toc65060504 \h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"_Toc65060505" </w:instrText>
          </w:r>
          <w:r>
            <w:fldChar w:fldCharType="separate"/>
          </w:r>
          <w:r>
            <w:rPr>
              <w:rStyle w:val="19"/>
              <w:rFonts w:ascii="Times New Roman" w:hAnsi="Times New Roman" w:eastAsia="楷体"/>
              <w:sz w:val="28"/>
              <w:szCs w:val="28"/>
            </w:rPr>
            <w:t>（三）建立区域联动发展重大体制机制</w:t>
          </w:r>
          <w:r>
            <w:rPr>
              <w:sz w:val="28"/>
              <w:szCs w:val="28"/>
            </w:rPr>
            <w:tab/>
          </w:r>
          <w:r>
            <w:rPr>
              <w:sz w:val="28"/>
              <w:szCs w:val="28"/>
            </w:rPr>
            <w:fldChar w:fldCharType="begin"/>
          </w:r>
          <w:r>
            <w:rPr>
              <w:sz w:val="28"/>
              <w:szCs w:val="28"/>
            </w:rPr>
            <w:instrText xml:space="preserve"> PAGEREF _Toc65060505 \h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"_Toc65060506" </w:instrText>
          </w:r>
          <w:r>
            <w:fldChar w:fldCharType="separate"/>
          </w:r>
          <w:r>
            <w:rPr>
              <w:rStyle w:val="19"/>
              <w:rFonts w:ascii="Times New Roman" w:hAnsi="Times New Roman" w:eastAsia="楷体" w:cstheme="majorBidi"/>
              <w:sz w:val="28"/>
              <w:szCs w:val="28"/>
            </w:rPr>
            <w:t>（四）打造营商环境最优县</w:t>
          </w:r>
          <w:r>
            <w:rPr>
              <w:sz w:val="28"/>
              <w:szCs w:val="28"/>
            </w:rPr>
            <w:tab/>
          </w:r>
          <w:r>
            <w:rPr>
              <w:sz w:val="28"/>
              <w:szCs w:val="28"/>
            </w:rPr>
            <w:fldChar w:fldCharType="begin"/>
          </w:r>
          <w:r>
            <w:rPr>
              <w:sz w:val="28"/>
              <w:szCs w:val="28"/>
            </w:rPr>
            <w:instrText xml:space="preserve"> PAGEREF _Toc65060506 \h </w:instrText>
          </w:r>
          <w:r>
            <w:rPr>
              <w:sz w:val="28"/>
              <w:szCs w:val="28"/>
            </w:rPr>
            <w:fldChar w:fldCharType="separate"/>
          </w:r>
          <w:r>
            <w:rPr>
              <w:sz w:val="28"/>
              <w:szCs w:val="28"/>
            </w:rPr>
            <w:t>20</w:t>
          </w:r>
          <w:r>
            <w:rPr>
              <w:sz w:val="28"/>
              <w:szCs w:val="28"/>
            </w:rPr>
            <w:fldChar w:fldCharType="end"/>
          </w:r>
          <w:r>
            <w:rPr>
              <w:sz w:val="28"/>
              <w:szCs w:val="28"/>
            </w:rPr>
            <w:fldChar w:fldCharType="end"/>
          </w:r>
        </w:p>
        <w:p>
          <w:pPr>
            <w:pStyle w:val="10"/>
            <w:tabs>
              <w:tab w:val="right" w:leader="dot" w:pos="8296"/>
            </w:tabs>
            <w:spacing w:line="560" w:lineRule="exact"/>
            <w:rPr>
              <w:sz w:val="28"/>
              <w:szCs w:val="28"/>
            </w:rPr>
          </w:pPr>
          <w:r>
            <w:fldChar w:fldCharType="begin"/>
          </w:r>
          <w:r>
            <w:instrText xml:space="preserve"> HYPERLINK \l "_Toc65060507" </w:instrText>
          </w:r>
          <w:r>
            <w:fldChar w:fldCharType="separate"/>
          </w:r>
          <w:r>
            <w:rPr>
              <w:rStyle w:val="19"/>
              <w:rFonts w:ascii="Times New Roman" w:hAnsi="Times New Roman" w:eastAsia="黑体" w:cs="Times New Roman"/>
              <w:sz w:val="28"/>
              <w:szCs w:val="28"/>
            </w:rPr>
            <w:t>三、全面推进智造强县，构建现代化产业发展新体系</w:t>
          </w:r>
          <w:r>
            <w:rPr>
              <w:sz w:val="28"/>
              <w:szCs w:val="28"/>
            </w:rPr>
            <w:tab/>
          </w:r>
          <w:r>
            <w:rPr>
              <w:sz w:val="28"/>
              <w:szCs w:val="28"/>
            </w:rPr>
            <w:fldChar w:fldCharType="begin"/>
          </w:r>
          <w:r>
            <w:rPr>
              <w:sz w:val="28"/>
              <w:szCs w:val="28"/>
            </w:rPr>
            <w:instrText xml:space="preserve"> PAGEREF _Toc65060507 \h </w:instrText>
          </w:r>
          <w:r>
            <w:rPr>
              <w:sz w:val="28"/>
              <w:szCs w:val="28"/>
            </w:rPr>
            <w:fldChar w:fldCharType="separate"/>
          </w:r>
          <w:r>
            <w:rPr>
              <w:sz w:val="28"/>
              <w:szCs w:val="28"/>
            </w:rPr>
            <w:t>22</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"_Toc65060508" </w:instrText>
          </w:r>
          <w:r>
            <w:fldChar w:fldCharType="separate"/>
          </w:r>
          <w:r>
            <w:rPr>
              <w:rStyle w:val="19"/>
              <w:rFonts w:ascii="Times New Roman" w:hAnsi="Times New Roman" w:eastAsia="楷体"/>
              <w:sz w:val="28"/>
              <w:szCs w:val="28"/>
            </w:rPr>
            <w:t>（一）做大做强三大主导产业</w:t>
          </w:r>
          <w:r>
            <w:rPr>
              <w:sz w:val="28"/>
              <w:szCs w:val="28"/>
            </w:rPr>
            <w:tab/>
          </w:r>
          <w:r>
            <w:rPr>
              <w:sz w:val="28"/>
              <w:szCs w:val="28"/>
            </w:rPr>
            <w:fldChar w:fldCharType="begin"/>
          </w:r>
          <w:r>
            <w:rPr>
              <w:sz w:val="28"/>
              <w:szCs w:val="28"/>
            </w:rPr>
            <w:instrText xml:space="preserve"> PAGEREF _Toc65060508 \h </w:instrText>
          </w:r>
          <w:r>
            <w:rPr>
              <w:sz w:val="28"/>
              <w:szCs w:val="28"/>
            </w:rPr>
            <w:fldChar w:fldCharType="separate"/>
          </w:r>
          <w:r>
            <w:rPr>
              <w:sz w:val="28"/>
              <w:szCs w:val="28"/>
            </w:rPr>
            <w:t>22</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"_Toc65060509" </w:instrText>
          </w:r>
          <w:r>
            <w:fldChar w:fldCharType="separate"/>
          </w:r>
          <w:r>
            <w:rPr>
              <w:rStyle w:val="19"/>
              <w:rFonts w:ascii="Times New Roman" w:hAnsi="Times New Roman" w:eastAsia="楷体"/>
              <w:sz w:val="28"/>
              <w:szCs w:val="28"/>
            </w:rPr>
            <w:t>（二）着力培育四大新兴产业</w:t>
          </w:r>
          <w:r>
            <w:rPr>
              <w:sz w:val="28"/>
              <w:szCs w:val="28"/>
            </w:rPr>
            <w:tab/>
          </w:r>
          <w:r>
            <w:rPr>
              <w:sz w:val="28"/>
              <w:szCs w:val="28"/>
            </w:rPr>
            <w:fldChar w:fldCharType="begin"/>
          </w:r>
          <w:r>
            <w:rPr>
              <w:sz w:val="28"/>
              <w:szCs w:val="28"/>
            </w:rPr>
            <w:instrText xml:space="preserve"> PAGEREF _Toc65060509 \h </w:instrText>
          </w:r>
          <w:r>
            <w:rPr>
              <w:sz w:val="28"/>
              <w:szCs w:val="28"/>
            </w:rPr>
            <w:fldChar w:fldCharType="separate"/>
          </w:r>
          <w:r>
            <w:rPr>
              <w:sz w:val="28"/>
              <w:szCs w:val="28"/>
            </w:rPr>
            <w:t>24</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"_Toc65060510" </w:instrText>
          </w:r>
          <w:r>
            <w:fldChar w:fldCharType="separate"/>
          </w:r>
          <w:r>
            <w:rPr>
              <w:rStyle w:val="19"/>
              <w:rFonts w:ascii="Times New Roman" w:hAnsi="Times New Roman" w:eastAsia="楷体" w:cstheme="majorBidi"/>
              <w:sz w:val="28"/>
              <w:szCs w:val="28"/>
            </w:rPr>
            <w:t>（三）做精做优特色优势产业</w:t>
          </w:r>
          <w:r>
            <w:rPr>
              <w:sz w:val="28"/>
              <w:szCs w:val="28"/>
            </w:rPr>
            <w:tab/>
          </w:r>
          <w:r>
            <w:rPr>
              <w:sz w:val="28"/>
              <w:szCs w:val="28"/>
            </w:rPr>
            <w:fldChar w:fldCharType="begin"/>
          </w:r>
          <w:r>
            <w:rPr>
              <w:sz w:val="28"/>
              <w:szCs w:val="28"/>
            </w:rPr>
            <w:instrText xml:space="preserve"> PAGEREF _Toc65060510 \h </w:instrText>
          </w:r>
          <w:r>
            <w:rPr>
              <w:sz w:val="28"/>
              <w:szCs w:val="28"/>
            </w:rPr>
            <w:fldChar w:fldCharType="separate"/>
          </w:r>
          <w:r>
            <w:rPr>
              <w:sz w:val="28"/>
              <w:szCs w:val="28"/>
            </w:rPr>
            <w:t>25</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"_Toc65060511" </w:instrText>
          </w:r>
          <w:r>
            <w:fldChar w:fldCharType="separate"/>
          </w:r>
          <w:r>
            <w:rPr>
              <w:rStyle w:val="19"/>
              <w:rFonts w:ascii="Times New Roman" w:hAnsi="Times New Roman" w:eastAsia="楷体"/>
              <w:sz w:val="28"/>
              <w:szCs w:val="28"/>
            </w:rPr>
            <w:t>（四）推动服务业创新融合发展</w:t>
          </w:r>
          <w:r>
            <w:rPr>
              <w:sz w:val="28"/>
              <w:szCs w:val="28"/>
            </w:rPr>
            <w:tab/>
          </w:r>
          <w:r>
            <w:rPr>
              <w:sz w:val="28"/>
              <w:szCs w:val="28"/>
            </w:rPr>
            <w:fldChar w:fldCharType="begin"/>
          </w:r>
          <w:r>
            <w:rPr>
              <w:sz w:val="28"/>
              <w:szCs w:val="28"/>
            </w:rPr>
            <w:instrText xml:space="preserve"> PAGEREF _Toc65060511 \h </w:instrText>
          </w:r>
          <w:r>
            <w:rPr>
              <w:sz w:val="28"/>
              <w:szCs w:val="28"/>
            </w:rPr>
            <w:fldChar w:fldCharType="separate"/>
          </w:r>
          <w:r>
            <w:rPr>
              <w:sz w:val="28"/>
              <w:szCs w:val="28"/>
            </w:rPr>
            <w:t>25</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"_Toc65060512" </w:instrText>
          </w:r>
          <w:r>
            <w:fldChar w:fldCharType="separate"/>
          </w:r>
          <w:r>
            <w:rPr>
              <w:rStyle w:val="19"/>
              <w:rFonts w:ascii="Times New Roman" w:hAnsi="Times New Roman" w:eastAsia="楷体"/>
              <w:sz w:val="28"/>
              <w:szCs w:val="28"/>
            </w:rPr>
            <w:t>（五）建设高水平产业发展大平台</w:t>
          </w:r>
          <w:r>
            <w:rPr>
              <w:sz w:val="28"/>
              <w:szCs w:val="28"/>
            </w:rPr>
            <w:tab/>
          </w:r>
          <w:r>
            <w:rPr>
              <w:sz w:val="28"/>
              <w:szCs w:val="28"/>
            </w:rPr>
            <w:fldChar w:fldCharType="begin"/>
          </w:r>
          <w:r>
            <w:rPr>
              <w:sz w:val="28"/>
              <w:szCs w:val="28"/>
            </w:rPr>
            <w:instrText xml:space="preserve"> PAGEREF _Toc65060512 \h </w:instrText>
          </w:r>
          <w:r>
            <w:rPr>
              <w:sz w:val="28"/>
              <w:szCs w:val="28"/>
            </w:rPr>
            <w:fldChar w:fldCharType="separate"/>
          </w:r>
          <w:r>
            <w:rPr>
              <w:sz w:val="28"/>
              <w:szCs w:val="28"/>
            </w:rPr>
            <w:t>27</w:t>
          </w:r>
          <w:r>
            <w:rPr>
              <w:sz w:val="28"/>
              <w:szCs w:val="28"/>
            </w:rPr>
            <w:fldChar w:fldCharType="end"/>
          </w:r>
          <w:r>
            <w:rPr>
              <w:sz w:val="28"/>
              <w:szCs w:val="28"/>
            </w:rPr>
            <w:fldChar w:fldCharType="end"/>
          </w:r>
        </w:p>
        <w:p>
          <w:pPr>
            <w:pStyle w:val="10"/>
            <w:tabs>
              <w:tab w:val="right" w:leader="dot" w:pos="8296"/>
            </w:tabs>
            <w:spacing w:line="560" w:lineRule="exact"/>
            <w:rPr>
              <w:sz w:val="28"/>
              <w:szCs w:val="28"/>
            </w:rPr>
          </w:pPr>
          <w:r>
            <w:fldChar w:fldCharType="begin"/>
          </w:r>
          <w:r>
            <w:instrText xml:space="preserve"> HYPERLINK \l "_Toc65060513" </w:instrText>
          </w:r>
          <w:r>
            <w:fldChar w:fldCharType="separate"/>
          </w:r>
          <w:r>
            <w:rPr>
              <w:rStyle w:val="19"/>
              <w:rFonts w:ascii="Times New Roman" w:hAnsi="Times New Roman" w:eastAsia="黑体" w:cs="Times New Roman"/>
              <w:spacing w:val="-6"/>
              <w:sz w:val="28"/>
              <w:szCs w:val="28"/>
            </w:rPr>
            <w:t>四、全面推进创新驱动赋能增效，构建高质量发展新动能</w:t>
          </w:r>
          <w:r>
            <w:rPr>
              <w:sz w:val="28"/>
              <w:szCs w:val="28"/>
            </w:rPr>
            <w:tab/>
          </w:r>
          <w:r>
            <w:rPr>
              <w:sz w:val="28"/>
              <w:szCs w:val="28"/>
            </w:rPr>
            <w:fldChar w:fldCharType="begin"/>
          </w:r>
          <w:r>
            <w:rPr>
              <w:sz w:val="28"/>
              <w:szCs w:val="28"/>
            </w:rPr>
            <w:instrText xml:space="preserve"> PAGEREF _Toc65060513 \h </w:instrText>
          </w:r>
          <w:r>
            <w:rPr>
              <w:sz w:val="28"/>
              <w:szCs w:val="28"/>
            </w:rPr>
            <w:fldChar w:fldCharType="separate"/>
          </w:r>
          <w:r>
            <w:rPr>
              <w:sz w:val="28"/>
              <w:szCs w:val="28"/>
            </w:rPr>
            <w:t>29</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"_Toc65060514" </w:instrText>
          </w:r>
          <w:r>
            <w:fldChar w:fldCharType="separate"/>
          </w:r>
          <w:r>
            <w:rPr>
              <w:rStyle w:val="19"/>
              <w:rFonts w:ascii="Times New Roman" w:hAnsi="Times New Roman" w:eastAsia="楷体"/>
              <w:sz w:val="28"/>
              <w:szCs w:val="28"/>
            </w:rPr>
            <w:t>（一）建设产业创新的平台载体</w:t>
          </w:r>
          <w:r>
            <w:rPr>
              <w:sz w:val="28"/>
              <w:szCs w:val="28"/>
            </w:rPr>
            <w:tab/>
          </w:r>
          <w:r>
            <w:rPr>
              <w:sz w:val="28"/>
              <w:szCs w:val="28"/>
            </w:rPr>
            <w:fldChar w:fldCharType="begin"/>
          </w:r>
          <w:r>
            <w:rPr>
              <w:sz w:val="28"/>
              <w:szCs w:val="28"/>
            </w:rPr>
            <w:instrText xml:space="preserve"> PAGEREF _Toc65060514 \h </w:instrText>
          </w:r>
          <w:r>
            <w:rPr>
              <w:sz w:val="28"/>
              <w:szCs w:val="28"/>
            </w:rPr>
            <w:fldChar w:fldCharType="separate"/>
          </w:r>
          <w:r>
            <w:rPr>
              <w:sz w:val="28"/>
              <w:szCs w:val="28"/>
            </w:rPr>
            <w:t>29</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"_Toc65060515" </w:instrText>
          </w:r>
          <w:r>
            <w:fldChar w:fldCharType="separate"/>
          </w:r>
          <w:r>
            <w:rPr>
              <w:rStyle w:val="19"/>
              <w:rFonts w:ascii="Times New Roman" w:hAnsi="Times New Roman" w:eastAsia="楷体" w:cstheme="majorBidi"/>
              <w:sz w:val="28"/>
              <w:szCs w:val="28"/>
            </w:rPr>
            <w:t>（二）推进创新主体能力提升</w:t>
          </w:r>
          <w:r>
            <w:rPr>
              <w:sz w:val="28"/>
              <w:szCs w:val="28"/>
            </w:rPr>
            <w:tab/>
          </w:r>
          <w:r>
            <w:rPr>
              <w:sz w:val="28"/>
              <w:szCs w:val="28"/>
            </w:rPr>
            <w:fldChar w:fldCharType="begin"/>
          </w:r>
          <w:r>
            <w:rPr>
              <w:sz w:val="28"/>
              <w:szCs w:val="28"/>
            </w:rPr>
            <w:instrText xml:space="preserve"> PAGEREF _Toc65060515 \h </w:instrText>
          </w:r>
          <w:r>
            <w:rPr>
              <w:sz w:val="28"/>
              <w:szCs w:val="28"/>
            </w:rPr>
            <w:fldChar w:fldCharType="separate"/>
          </w:r>
          <w:r>
            <w:rPr>
              <w:sz w:val="28"/>
              <w:szCs w:val="28"/>
            </w:rPr>
            <w:t>30</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"_Toc65060516" </w:instrText>
          </w:r>
          <w:r>
            <w:fldChar w:fldCharType="separate"/>
          </w:r>
          <w:r>
            <w:rPr>
              <w:rStyle w:val="19"/>
              <w:rFonts w:ascii="Times New Roman" w:hAnsi="Times New Roman" w:eastAsia="楷体"/>
              <w:sz w:val="28"/>
              <w:szCs w:val="28"/>
            </w:rPr>
            <w:t>（三）多渠道推动人才集聚</w:t>
          </w:r>
          <w:r>
            <w:rPr>
              <w:sz w:val="28"/>
              <w:szCs w:val="28"/>
            </w:rPr>
            <w:tab/>
          </w:r>
          <w:r>
            <w:rPr>
              <w:sz w:val="28"/>
              <w:szCs w:val="28"/>
            </w:rPr>
            <w:fldChar w:fldCharType="begin"/>
          </w:r>
          <w:r>
            <w:rPr>
              <w:sz w:val="28"/>
              <w:szCs w:val="28"/>
            </w:rPr>
            <w:instrText xml:space="preserve"> PAGEREF _Toc65060516 \h </w:instrText>
          </w:r>
          <w:r>
            <w:rPr>
              <w:sz w:val="28"/>
              <w:szCs w:val="28"/>
            </w:rPr>
            <w:fldChar w:fldCharType="separate"/>
          </w:r>
          <w:r>
            <w:rPr>
              <w:sz w:val="28"/>
              <w:szCs w:val="28"/>
            </w:rPr>
            <w:t>30</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"_Toc65060517" </w:instrText>
          </w:r>
          <w:r>
            <w:fldChar w:fldCharType="separate"/>
          </w:r>
          <w:r>
            <w:rPr>
              <w:rStyle w:val="19"/>
              <w:rFonts w:ascii="Times New Roman" w:hAnsi="Times New Roman" w:eastAsia="楷体"/>
              <w:sz w:val="28"/>
              <w:szCs w:val="28"/>
            </w:rPr>
            <w:t>（四）营造充满活力的创业创新生态</w:t>
          </w:r>
          <w:r>
            <w:rPr>
              <w:sz w:val="28"/>
              <w:szCs w:val="28"/>
            </w:rPr>
            <w:tab/>
          </w:r>
          <w:r>
            <w:rPr>
              <w:sz w:val="28"/>
              <w:szCs w:val="28"/>
            </w:rPr>
            <w:fldChar w:fldCharType="begin"/>
          </w:r>
          <w:r>
            <w:rPr>
              <w:sz w:val="28"/>
              <w:szCs w:val="28"/>
            </w:rPr>
            <w:instrText xml:space="preserve"> PAGEREF _Toc65060517 \h </w:instrText>
          </w:r>
          <w:r>
            <w:rPr>
              <w:sz w:val="28"/>
              <w:szCs w:val="28"/>
            </w:rPr>
            <w:fldChar w:fldCharType="separate"/>
          </w:r>
          <w:r>
            <w:rPr>
              <w:sz w:val="28"/>
              <w:szCs w:val="28"/>
            </w:rPr>
            <w:t>31</w:t>
          </w:r>
          <w:r>
            <w:rPr>
              <w:sz w:val="28"/>
              <w:szCs w:val="28"/>
            </w:rPr>
            <w:fldChar w:fldCharType="end"/>
          </w:r>
          <w:r>
            <w:rPr>
              <w:sz w:val="28"/>
              <w:szCs w:val="28"/>
            </w:rPr>
            <w:fldChar w:fldCharType="end"/>
          </w:r>
        </w:p>
        <w:p>
          <w:pPr>
            <w:pStyle w:val="10"/>
            <w:tabs>
              <w:tab w:val="right" w:leader="dot" w:pos="8296"/>
            </w:tabs>
            <w:spacing w:line="560" w:lineRule="exact"/>
            <w:rPr>
              <w:sz w:val="28"/>
              <w:szCs w:val="28"/>
            </w:rPr>
          </w:pPr>
          <w:r>
            <w:fldChar w:fldCharType="begin"/>
          </w:r>
          <w:r>
            <w:instrText xml:space="preserve"> HYPERLINK \l "_Toc65060518" </w:instrText>
          </w:r>
          <w:r>
            <w:fldChar w:fldCharType="separate"/>
          </w:r>
          <w:r>
            <w:rPr>
              <w:rStyle w:val="19"/>
              <w:rFonts w:ascii="Times New Roman" w:hAnsi="Times New Roman" w:eastAsia="黑体" w:cs="Times New Roman"/>
              <w:sz w:val="28"/>
              <w:szCs w:val="28"/>
            </w:rPr>
            <w:t>五、全面畅通供需体系，融入双循环新发展格局</w:t>
          </w:r>
          <w:r>
            <w:rPr>
              <w:sz w:val="28"/>
              <w:szCs w:val="28"/>
            </w:rPr>
            <w:tab/>
          </w:r>
          <w:r>
            <w:rPr>
              <w:sz w:val="28"/>
              <w:szCs w:val="28"/>
            </w:rPr>
            <w:fldChar w:fldCharType="begin"/>
          </w:r>
          <w:r>
            <w:rPr>
              <w:sz w:val="28"/>
              <w:szCs w:val="28"/>
            </w:rPr>
            <w:instrText xml:space="preserve"> PAGEREF _Toc65060518 \h </w:instrText>
          </w:r>
          <w:r>
            <w:rPr>
              <w:sz w:val="28"/>
              <w:szCs w:val="28"/>
            </w:rPr>
            <w:fldChar w:fldCharType="separate"/>
          </w:r>
          <w:r>
            <w:rPr>
              <w:sz w:val="28"/>
              <w:szCs w:val="28"/>
            </w:rPr>
            <w:t>33</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"_Toc65060519" </w:instrText>
          </w:r>
          <w:r>
            <w:fldChar w:fldCharType="separate"/>
          </w:r>
          <w:r>
            <w:rPr>
              <w:rStyle w:val="19"/>
              <w:rFonts w:ascii="Times New Roman" w:hAnsi="Times New Roman" w:eastAsia="楷体"/>
              <w:sz w:val="28"/>
              <w:szCs w:val="28"/>
            </w:rPr>
            <w:t>（一）着力提升主导产业竞争力</w:t>
          </w:r>
          <w:r>
            <w:rPr>
              <w:sz w:val="28"/>
              <w:szCs w:val="28"/>
            </w:rPr>
            <w:tab/>
          </w:r>
          <w:r>
            <w:rPr>
              <w:sz w:val="28"/>
              <w:szCs w:val="28"/>
            </w:rPr>
            <w:fldChar w:fldCharType="begin"/>
          </w:r>
          <w:r>
            <w:rPr>
              <w:sz w:val="28"/>
              <w:szCs w:val="28"/>
            </w:rPr>
            <w:instrText xml:space="preserve"> PAGEREF _Toc65060519 \h </w:instrText>
          </w:r>
          <w:r>
            <w:rPr>
              <w:sz w:val="28"/>
              <w:szCs w:val="28"/>
            </w:rPr>
            <w:fldChar w:fldCharType="separate"/>
          </w:r>
          <w:r>
            <w:rPr>
              <w:sz w:val="28"/>
              <w:szCs w:val="28"/>
            </w:rPr>
            <w:t>33</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"_Toc65060520" </w:instrText>
          </w:r>
          <w:r>
            <w:fldChar w:fldCharType="separate"/>
          </w:r>
          <w:r>
            <w:rPr>
              <w:rStyle w:val="19"/>
              <w:rFonts w:ascii="Times New Roman" w:hAnsi="Times New Roman" w:eastAsia="楷体"/>
              <w:sz w:val="28"/>
              <w:szCs w:val="28"/>
            </w:rPr>
            <w:t>（二）大力推进消费扩容升级</w:t>
          </w:r>
          <w:r>
            <w:rPr>
              <w:sz w:val="28"/>
              <w:szCs w:val="28"/>
            </w:rPr>
            <w:tab/>
          </w:r>
          <w:r>
            <w:rPr>
              <w:sz w:val="28"/>
              <w:szCs w:val="28"/>
            </w:rPr>
            <w:fldChar w:fldCharType="begin"/>
          </w:r>
          <w:r>
            <w:rPr>
              <w:sz w:val="28"/>
              <w:szCs w:val="28"/>
            </w:rPr>
            <w:instrText xml:space="preserve"> PAGEREF _Toc65060520 \h </w:instrText>
          </w:r>
          <w:r>
            <w:rPr>
              <w:sz w:val="28"/>
              <w:szCs w:val="28"/>
            </w:rPr>
            <w:fldChar w:fldCharType="separate"/>
          </w:r>
          <w:r>
            <w:rPr>
              <w:sz w:val="28"/>
              <w:szCs w:val="28"/>
            </w:rPr>
            <w:t>34</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"_Toc65060521" </w:instrText>
          </w:r>
          <w:r>
            <w:fldChar w:fldCharType="separate"/>
          </w:r>
          <w:r>
            <w:rPr>
              <w:rStyle w:val="19"/>
              <w:rFonts w:ascii="Times New Roman" w:hAnsi="Times New Roman" w:eastAsia="楷体"/>
              <w:sz w:val="28"/>
              <w:szCs w:val="28"/>
            </w:rPr>
            <w:t>（三）积极发展全面开放型经济</w:t>
          </w:r>
          <w:r>
            <w:rPr>
              <w:sz w:val="28"/>
              <w:szCs w:val="28"/>
            </w:rPr>
            <w:tab/>
          </w:r>
          <w:r>
            <w:rPr>
              <w:sz w:val="28"/>
              <w:szCs w:val="28"/>
            </w:rPr>
            <w:fldChar w:fldCharType="begin"/>
          </w:r>
          <w:r>
            <w:rPr>
              <w:sz w:val="28"/>
              <w:szCs w:val="28"/>
            </w:rPr>
            <w:instrText xml:space="preserve"> PAGEREF _Toc65060521 \h </w:instrText>
          </w:r>
          <w:r>
            <w:rPr>
              <w:sz w:val="28"/>
              <w:szCs w:val="28"/>
            </w:rPr>
            <w:fldChar w:fldCharType="separate"/>
          </w:r>
          <w:r>
            <w:rPr>
              <w:sz w:val="28"/>
              <w:szCs w:val="28"/>
            </w:rPr>
            <w:t>35</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"_Toc65060522" </w:instrText>
          </w:r>
          <w:r>
            <w:fldChar w:fldCharType="separate"/>
          </w:r>
          <w:r>
            <w:rPr>
              <w:rStyle w:val="19"/>
              <w:rFonts w:ascii="Times New Roman" w:hAnsi="Times New Roman" w:eastAsia="楷体" w:cstheme="majorBidi"/>
              <w:sz w:val="28"/>
              <w:szCs w:val="28"/>
            </w:rPr>
            <w:t>（四）深入拓展投融资发展空间</w:t>
          </w:r>
          <w:r>
            <w:rPr>
              <w:sz w:val="28"/>
              <w:szCs w:val="28"/>
            </w:rPr>
            <w:tab/>
          </w:r>
          <w:r>
            <w:rPr>
              <w:sz w:val="28"/>
              <w:szCs w:val="28"/>
            </w:rPr>
            <w:fldChar w:fldCharType="begin"/>
          </w:r>
          <w:r>
            <w:rPr>
              <w:sz w:val="28"/>
              <w:szCs w:val="28"/>
            </w:rPr>
            <w:instrText xml:space="preserve"> PAGEREF _Toc65060522 \h </w:instrText>
          </w:r>
          <w:r>
            <w:rPr>
              <w:sz w:val="28"/>
              <w:szCs w:val="28"/>
            </w:rPr>
            <w:fldChar w:fldCharType="separate"/>
          </w:r>
          <w:r>
            <w:rPr>
              <w:sz w:val="28"/>
              <w:szCs w:val="28"/>
            </w:rPr>
            <w:t>36</w:t>
          </w:r>
          <w:r>
            <w:rPr>
              <w:sz w:val="28"/>
              <w:szCs w:val="28"/>
            </w:rPr>
            <w:fldChar w:fldCharType="end"/>
          </w:r>
          <w:r>
            <w:rPr>
              <w:sz w:val="28"/>
              <w:szCs w:val="28"/>
            </w:rPr>
            <w:fldChar w:fldCharType="end"/>
          </w:r>
        </w:p>
        <w:p>
          <w:pPr>
            <w:pStyle w:val="10"/>
            <w:tabs>
              <w:tab w:val="right" w:leader="dot" w:pos="8296"/>
            </w:tabs>
            <w:spacing w:line="560" w:lineRule="exact"/>
            <w:rPr>
              <w:sz w:val="28"/>
              <w:szCs w:val="28"/>
            </w:rPr>
          </w:pPr>
          <w:r>
            <w:fldChar w:fldCharType="begin"/>
          </w:r>
          <w:r>
            <w:instrText xml:space="preserve"> HYPERLINK \l "_Toc65060523" </w:instrText>
          </w:r>
          <w:r>
            <w:fldChar w:fldCharType="separate"/>
          </w:r>
          <w:r>
            <w:rPr>
              <w:rStyle w:val="19"/>
              <w:rFonts w:ascii="Times New Roman" w:hAnsi="Times New Roman" w:eastAsia="黑体" w:cs="Times New Roman"/>
              <w:sz w:val="28"/>
              <w:szCs w:val="28"/>
            </w:rPr>
            <w:t>六、全面建设新型城镇，构建城乡融合发展新形态</w:t>
          </w:r>
          <w:r>
            <w:rPr>
              <w:sz w:val="28"/>
              <w:szCs w:val="28"/>
            </w:rPr>
            <w:tab/>
          </w:r>
          <w:r>
            <w:rPr>
              <w:sz w:val="28"/>
              <w:szCs w:val="28"/>
            </w:rPr>
            <w:fldChar w:fldCharType="begin"/>
          </w:r>
          <w:r>
            <w:rPr>
              <w:sz w:val="28"/>
              <w:szCs w:val="28"/>
            </w:rPr>
            <w:instrText xml:space="preserve"> PAGEREF _Toc65060523 \h </w:instrText>
          </w:r>
          <w:r>
            <w:rPr>
              <w:sz w:val="28"/>
              <w:szCs w:val="28"/>
            </w:rPr>
            <w:fldChar w:fldCharType="separate"/>
          </w:r>
          <w:r>
            <w:rPr>
              <w:sz w:val="28"/>
              <w:szCs w:val="28"/>
            </w:rPr>
            <w:t>38</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"_Toc65060524" </w:instrText>
          </w:r>
          <w:r>
            <w:fldChar w:fldCharType="separate"/>
          </w:r>
          <w:r>
            <w:rPr>
              <w:rStyle w:val="19"/>
              <w:rFonts w:ascii="Times New Roman" w:hAnsi="Times New Roman" w:eastAsia="楷体" w:cstheme="majorBidi"/>
              <w:sz w:val="28"/>
              <w:szCs w:val="28"/>
            </w:rPr>
            <w:t>（一）统筹编制县域国土空间规划</w:t>
          </w:r>
          <w:r>
            <w:rPr>
              <w:sz w:val="28"/>
              <w:szCs w:val="28"/>
            </w:rPr>
            <w:tab/>
          </w:r>
          <w:r>
            <w:rPr>
              <w:sz w:val="28"/>
              <w:szCs w:val="28"/>
            </w:rPr>
            <w:fldChar w:fldCharType="begin"/>
          </w:r>
          <w:r>
            <w:rPr>
              <w:sz w:val="28"/>
              <w:szCs w:val="28"/>
            </w:rPr>
            <w:instrText xml:space="preserve"> PAGEREF _Toc65060524 \h </w:instrText>
          </w:r>
          <w:r>
            <w:rPr>
              <w:sz w:val="28"/>
              <w:szCs w:val="28"/>
            </w:rPr>
            <w:fldChar w:fldCharType="separate"/>
          </w:r>
          <w:r>
            <w:rPr>
              <w:sz w:val="28"/>
              <w:szCs w:val="28"/>
            </w:rPr>
            <w:t>38</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"_Toc65060525" </w:instrText>
          </w:r>
          <w:r>
            <w:fldChar w:fldCharType="separate"/>
          </w:r>
          <w:r>
            <w:rPr>
              <w:rStyle w:val="19"/>
              <w:rFonts w:ascii="Times New Roman" w:hAnsi="Times New Roman" w:eastAsia="楷体" w:cstheme="majorBidi"/>
              <w:sz w:val="28"/>
              <w:szCs w:val="28"/>
            </w:rPr>
            <w:t>（二）做强提升中心城区能级</w:t>
          </w:r>
          <w:r>
            <w:rPr>
              <w:sz w:val="28"/>
              <w:szCs w:val="28"/>
            </w:rPr>
            <w:tab/>
          </w:r>
          <w:r>
            <w:rPr>
              <w:sz w:val="28"/>
              <w:szCs w:val="28"/>
            </w:rPr>
            <w:fldChar w:fldCharType="begin"/>
          </w:r>
          <w:r>
            <w:rPr>
              <w:sz w:val="28"/>
              <w:szCs w:val="28"/>
            </w:rPr>
            <w:instrText xml:space="preserve"> PAGEREF _Toc65060525 \h </w:instrText>
          </w:r>
          <w:r>
            <w:rPr>
              <w:sz w:val="28"/>
              <w:szCs w:val="28"/>
            </w:rPr>
            <w:fldChar w:fldCharType="separate"/>
          </w:r>
          <w:r>
            <w:rPr>
              <w:sz w:val="28"/>
              <w:szCs w:val="28"/>
            </w:rPr>
            <w:t>38</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"_Toc65060526" </w:instrText>
          </w:r>
          <w:r>
            <w:fldChar w:fldCharType="separate"/>
          </w:r>
          <w:r>
            <w:rPr>
              <w:rStyle w:val="19"/>
              <w:rFonts w:ascii="Times New Roman" w:hAnsi="Times New Roman" w:eastAsia="楷体" w:cstheme="majorBidi"/>
              <w:sz w:val="28"/>
              <w:szCs w:val="28"/>
            </w:rPr>
            <w:t>（三）构筑特色彰显的乡镇体系</w:t>
          </w:r>
          <w:r>
            <w:rPr>
              <w:sz w:val="28"/>
              <w:szCs w:val="28"/>
            </w:rPr>
            <w:tab/>
          </w:r>
          <w:r>
            <w:rPr>
              <w:sz w:val="28"/>
              <w:szCs w:val="28"/>
            </w:rPr>
            <w:fldChar w:fldCharType="begin"/>
          </w:r>
          <w:r>
            <w:rPr>
              <w:sz w:val="28"/>
              <w:szCs w:val="28"/>
            </w:rPr>
            <w:instrText xml:space="preserve"> PAGEREF _Toc65060526 \h </w:instrText>
          </w:r>
          <w:r>
            <w:rPr>
              <w:sz w:val="28"/>
              <w:szCs w:val="28"/>
            </w:rPr>
            <w:fldChar w:fldCharType="separate"/>
          </w:r>
          <w:r>
            <w:rPr>
              <w:sz w:val="28"/>
              <w:szCs w:val="28"/>
            </w:rPr>
            <w:t>41</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"_Toc65060527" </w:instrText>
          </w:r>
          <w:r>
            <w:fldChar w:fldCharType="separate"/>
          </w:r>
          <w:r>
            <w:rPr>
              <w:rStyle w:val="19"/>
              <w:rFonts w:ascii="Times New Roman" w:hAnsi="Times New Roman" w:eastAsia="楷体" w:cstheme="majorBidi"/>
              <w:sz w:val="28"/>
              <w:szCs w:val="28"/>
            </w:rPr>
            <w:t>（四）推进以人为核心的新型城镇化</w:t>
          </w:r>
          <w:r>
            <w:rPr>
              <w:sz w:val="28"/>
              <w:szCs w:val="28"/>
            </w:rPr>
            <w:tab/>
          </w:r>
          <w:r>
            <w:rPr>
              <w:sz w:val="28"/>
              <w:szCs w:val="28"/>
            </w:rPr>
            <w:fldChar w:fldCharType="begin"/>
          </w:r>
          <w:r>
            <w:rPr>
              <w:sz w:val="28"/>
              <w:szCs w:val="28"/>
            </w:rPr>
            <w:instrText xml:space="preserve"> PAGEREF _Toc65060527 \h </w:instrText>
          </w:r>
          <w:r>
            <w:rPr>
              <w:sz w:val="28"/>
              <w:szCs w:val="28"/>
            </w:rPr>
            <w:fldChar w:fldCharType="separate"/>
          </w:r>
          <w:r>
            <w:rPr>
              <w:sz w:val="28"/>
              <w:szCs w:val="28"/>
            </w:rPr>
            <w:t>41</w:t>
          </w:r>
          <w:r>
            <w:rPr>
              <w:sz w:val="28"/>
              <w:szCs w:val="28"/>
            </w:rPr>
            <w:fldChar w:fldCharType="end"/>
          </w:r>
          <w:r>
            <w:rPr>
              <w:sz w:val="28"/>
              <w:szCs w:val="28"/>
            </w:rPr>
            <w:fldChar w:fldCharType="end"/>
          </w:r>
        </w:p>
        <w:p>
          <w:pPr>
            <w:pStyle w:val="10"/>
            <w:tabs>
              <w:tab w:val="right" w:leader="dot" w:pos="8296"/>
            </w:tabs>
            <w:spacing w:line="560" w:lineRule="exact"/>
            <w:rPr>
              <w:sz w:val="28"/>
              <w:szCs w:val="28"/>
            </w:rPr>
          </w:pPr>
          <w:r>
            <w:fldChar w:fldCharType="begin"/>
          </w:r>
          <w:r>
            <w:instrText xml:space="preserve"> HYPERLINK \l "_Toc65060528" </w:instrText>
          </w:r>
          <w:r>
            <w:fldChar w:fldCharType="separate"/>
          </w:r>
          <w:r>
            <w:rPr>
              <w:rStyle w:val="19"/>
              <w:rFonts w:ascii="Times New Roman" w:hAnsi="Times New Roman" w:eastAsia="黑体" w:cs="Times New Roman"/>
              <w:sz w:val="28"/>
              <w:szCs w:val="28"/>
            </w:rPr>
            <w:t>七、全面推进乡村振兴，构建农业农村发展新面貌</w:t>
          </w:r>
          <w:r>
            <w:rPr>
              <w:sz w:val="28"/>
              <w:szCs w:val="28"/>
            </w:rPr>
            <w:tab/>
          </w:r>
          <w:r>
            <w:rPr>
              <w:sz w:val="28"/>
              <w:szCs w:val="28"/>
            </w:rPr>
            <w:fldChar w:fldCharType="begin"/>
          </w:r>
          <w:r>
            <w:rPr>
              <w:sz w:val="28"/>
              <w:szCs w:val="28"/>
            </w:rPr>
            <w:instrText xml:space="preserve"> PAGEREF _Toc65060528 \h </w:instrText>
          </w:r>
          <w:r>
            <w:rPr>
              <w:sz w:val="28"/>
              <w:szCs w:val="28"/>
            </w:rPr>
            <w:fldChar w:fldCharType="separate"/>
          </w:r>
          <w:r>
            <w:rPr>
              <w:sz w:val="28"/>
              <w:szCs w:val="28"/>
            </w:rPr>
            <w:t>44</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"_Toc65060529" </w:instrText>
          </w:r>
          <w:r>
            <w:fldChar w:fldCharType="separate"/>
          </w:r>
          <w:r>
            <w:rPr>
              <w:rStyle w:val="19"/>
              <w:rFonts w:ascii="Times New Roman" w:hAnsi="Times New Roman" w:eastAsia="楷体" w:cstheme="majorBidi"/>
              <w:sz w:val="28"/>
              <w:szCs w:val="28"/>
            </w:rPr>
            <w:t>（一）巩固拓展脱贫攻坚成果</w:t>
          </w:r>
          <w:r>
            <w:rPr>
              <w:sz w:val="28"/>
              <w:szCs w:val="28"/>
            </w:rPr>
            <w:tab/>
          </w:r>
          <w:r>
            <w:rPr>
              <w:sz w:val="28"/>
              <w:szCs w:val="28"/>
            </w:rPr>
            <w:fldChar w:fldCharType="begin"/>
          </w:r>
          <w:r>
            <w:rPr>
              <w:sz w:val="28"/>
              <w:szCs w:val="28"/>
            </w:rPr>
            <w:instrText xml:space="preserve"> PAGEREF _Toc65060529 \h </w:instrText>
          </w:r>
          <w:r>
            <w:rPr>
              <w:sz w:val="28"/>
              <w:szCs w:val="28"/>
            </w:rPr>
            <w:fldChar w:fldCharType="separate"/>
          </w:r>
          <w:r>
            <w:rPr>
              <w:sz w:val="28"/>
              <w:szCs w:val="28"/>
            </w:rPr>
            <w:t>44</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"_Toc65060530" </w:instrText>
          </w:r>
          <w:r>
            <w:fldChar w:fldCharType="separate"/>
          </w:r>
          <w:r>
            <w:rPr>
              <w:rStyle w:val="19"/>
              <w:rFonts w:ascii="Times New Roman" w:hAnsi="Times New Roman" w:eastAsia="楷体" w:cstheme="majorBidi"/>
              <w:sz w:val="28"/>
              <w:szCs w:val="28"/>
            </w:rPr>
            <w:t>（二）培育现代化乡村产业体系</w:t>
          </w:r>
          <w:r>
            <w:rPr>
              <w:sz w:val="28"/>
              <w:szCs w:val="28"/>
            </w:rPr>
            <w:tab/>
          </w:r>
          <w:r>
            <w:rPr>
              <w:sz w:val="28"/>
              <w:szCs w:val="28"/>
            </w:rPr>
            <w:fldChar w:fldCharType="begin"/>
          </w:r>
          <w:r>
            <w:rPr>
              <w:sz w:val="28"/>
              <w:szCs w:val="28"/>
            </w:rPr>
            <w:instrText xml:space="preserve"> PAGEREF _Toc65060530 \h </w:instrText>
          </w:r>
          <w:r>
            <w:rPr>
              <w:sz w:val="28"/>
              <w:szCs w:val="28"/>
            </w:rPr>
            <w:fldChar w:fldCharType="separate"/>
          </w:r>
          <w:r>
            <w:rPr>
              <w:sz w:val="28"/>
              <w:szCs w:val="28"/>
            </w:rPr>
            <w:t>44</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"_Toc65060531" </w:instrText>
          </w:r>
          <w:r>
            <w:fldChar w:fldCharType="separate"/>
          </w:r>
          <w:r>
            <w:rPr>
              <w:rStyle w:val="19"/>
              <w:rFonts w:ascii="Times New Roman" w:hAnsi="Times New Roman" w:eastAsia="楷体" w:cstheme="majorBidi"/>
              <w:sz w:val="28"/>
              <w:szCs w:val="28"/>
            </w:rPr>
            <w:t>（三）打造新时代美丽乡村建设示范</w:t>
          </w:r>
          <w:r>
            <w:rPr>
              <w:sz w:val="28"/>
              <w:szCs w:val="28"/>
            </w:rPr>
            <w:tab/>
          </w:r>
          <w:r>
            <w:rPr>
              <w:sz w:val="28"/>
              <w:szCs w:val="28"/>
            </w:rPr>
            <w:fldChar w:fldCharType="begin"/>
          </w:r>
          <w:r>
            <w:rPr>
              <w:sz w:val="28"/>
              <w:szCs w:val="28"/>
            </w:rPr>
            <w:instrText xml:space="preserve"> PAGEREF _Toc65060531 \h </w:instrText>
          </w:r>
          <w:r>
            <w:rPr>
              <w:sz w:val="28"/>
              <w:szCs w:val="28"/>
            </w:rPr>
            <w:fldChar w:fldCharType="separate"/>
          </w:r>
          <w:r>
            <w:rPr>
              <w:sz w:val="28"/>
              <w:szCs w:val="28"/>
            </w:rPr>
            <w:t>46</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"_Toc65060532" </w:instrText>
          </w:r>
          <w:r>
            <w:fldChar w:fldCharType="separate"/>
          </w:r>
          <w:r>
            <w:rPr>
              <w:rStyle w:val="19"/>
              <w:rFonts w:ascii="Times New Roman" w:hAnsi="Times New Roman" w:eastAsia="楷体" w:cstheme="majorBidi"/>
              <w:sz w:val="28"/>
              <w:szCs w:val="28"/>
            </w:rPr>
            <w:t>（四）深入推动农村改革升级</w:t>
          </w:r>
          <w:r>
            <w:rPr>
              <w:sz w:val="28"/>
              <w:szCs w:val="28"/>
            </w:rPr>
            <w:tab/>
          </w:r>
          <w:r>
            <w:rPr>
              <w:sz w:val="28"/>
              <w:szCs w:val="28"/>
            </w:rPr>
            <w:fldChar w:fldCharType="begin"/>
          </w:r>
          <w:r>
            <w:rPr>
              <w:sz w:val="28"/>
              <w:szCs w:val="28"/>
            </w:rPr>
            <w:instrText xml:space="preserve"> PAGEREF _Toc65060532 \h </w:instrText>
          </w:r>
          <w:r>
            <w:rPr>
              <w:sz w:val="28"/>
              <w:szCs w:val="28"/>
            </w:rPr>
            <w:fldChar w:fldCharType="separate"/>
          </w:r>
          <w:r>
            <w:rPr>
              <w:sz w:val="28"/>
              <w:szCs w:val="28"/>
            </w:rPr>
            <w:t>47</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"_Toc65060533" </w:instrText>
          </w:r>
          <w:r>
            <w:fldChar w:fldCharType="separate"/>
          </w:r>
          <w:r>
            <w:rPr>
              <w:rStyle w:val="19"/>
              <w:rFonts w:ascii="Times New Roman" w:hAnsi="Times New Roman" w:eastAsia="楷体" w:cstheme="majorBidi"/>
              <w:sz w:val="28"/>
              <w:szCs w:val="28"/>
            </w:rPr>
            <w:t>（五）巩固全面小康促进农民增收</w:t>
          </w:r>
          <w:r>
            <w:rPr>
              <w:sz w:val="28"/>
              <w:szCs w:val="28"/>
            </w:rPr>
            <w:tab/>
          </w:r>
          <w:r>
            <w:rPr>
              <w:sz w:val="28"/>
              <w:szCs w:val="28"/>
            </w:rPr>
            <w:fldChar w:fldCharType="begin"/>
          </w:r>
          <w:r>
            <w:rPr>
              <w:sz w:val="28"/>
              <w:szCs w:val="28"/>
            </w:rPr>
            <w:instrText xml:space="preserve"> PAGEREF _Toc65060533 \h </w:instrText>
          </w:r>
          <w:r>
            <w:rPr>
              <w:sz w:val="28"/>
              <w:szCs w:val="28"/>
            </w:rPr>
            <w:fldChar w:fldCharType="separate"/>
          </w:r>
          <w:r>
            <w:rPr>
              <w:sz w:val="28"/>
              <w:szCs w:val="28"/>
            </w:rPr>
            <w:t>49</w:t>
          </w:r>
          <w:r>
            <w:rPr>
              <w:sz w:val="28"/>
              <w:szCs w:val="28"/>
            </w:rPr>
            <w:fldChar w:fldCharType="end"/>
          </w:r>
          <w:r>
            <w:rPr>
              <w:sz w:val="28"/>
              <w:szCs w:val="28"/>
            </w:rPr>
            <w:fldChar w:fldCharType="end"/>
          </w:r>
        </w:p>
        <w:p>
          <w:pPr>
            <w:pStyle w:val="10"/>
            <w:tabs>
              <w:tab w:val="right" w:leader="dot" w:pos="8296"/>
            </w:tabs>
            <w:spacing w:line="560" w:lineRule="exact"/>
            <w:rPr>
              <w:sz w:val="28"/>
              <w:szCs w:val="28"/>
            </w:rPr>
          </w:pPr>
          <w:r>
            <w:fldChar w:fldCharType="begin"/>
          </w:r>
          <w:r>
            <w:instrText xml:space="preserve"> HYPERLINK \l "_Toc65060534" </w:instrText>
          </w:r>
          <w:r>
            <w:fldChar w:fldCharType="separate"/>
          </w:r>
          <w:r>
            <w:rPr>
              <w:rStyle w:val="19"/>
              <w:rFonts w:ascii="Times New Roman" w:hAnsi="Times New Roman" w:eastAsia="黑体" w:cs="Times New Roman"/>
              <w:sz w:val="28"/>
              <w:szCs w:val="28"/>
            </w:rPr>
            <w:t>八、全面提升基础能力，构建现代化设施保障新支撑</w:t>
          </w:r>
          <w:r>
            <w:rPr>
              <w:sz w:val="28"/>
              <w:szCs w:val="28"/>
            </w:rPr>
            <w:tab/>
          </w:r>
          <w:r>
            <w:rPr>
              <w:sz w:val="28"/>
              <w:szCs w:val="28"/>
            </w:rPr>
            <w:fldChar w:fldCharType="begin"/>
          </w:r>
          <w:r>
            <w:rPr>
              <w:sz w:val="28"/>
              <w:szCs w:val="28"/>
            </w:rPr>
            <w:instrText xml:space="preserve"> PAGEREF _Toc65060534 \h </w:instrText>
          </w:r>
          <w:r>
            <w:rPr>
              <w:sz w:val="28"/>
              <w:szCs w:val="28"/>
            </w:rPr>
            <w:fldChar w:fldCharType="separate"/>
          </w:r>
          <w:r>
            <w:rPr>
              <w:sz w:val="28"/>
              <w:szCs w:val="28"/>
            </w:rPr>
            <w:t>51</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"_Toc65060535" </w:instrText>
          </w:r>
          <w:r>
            <w:fldChar w:fldCharType="separate"/>
          </w:r>
          <w:r>
            <w:rPr>
              <w:rStyle w:val="19"/>
              <w:rFonts w:ascii="Times New Roman" w:hAnsi="Times New Roman" w:eastAsia="楷体" w:cstheme="majorBidi"/>
              <w:sz w:val="28"/>
              <w:szCs w:val="28"/>
            </w:rPr>
            <w:t>（一）建立高效便捷的综合交通网</w:t>
          </w:r>
          <w:r>
            <w:rPr>
              <w:sz w:val="28"/>
              <w:szCs w:val="28"/>
            </w:rPr>
            <w:tab/>
          </w:r>
          <w:r>
            <w:rPr>
              <w:sz w:val="28"/>
              <w:szCs w:val="28"/>
            </w:rPr>
            <w:fldChar w:fldCharType="begin"/>
          </w:r>
          <w:r>
            <w:rPr>
              <w:sz w:val="28"/>
              <w:szCs w:val="28"/>
            </w:rPr>
            <w:instrText xml:space="preserve"> PAGEREF _Toc65060535 \h </w:instrText>
          </w:r>
          <w:r>
            <w:rPr>
              <w:sz w:val="28"/>
              <w:szCs w:val="28"/>
            </w:rPr>
            <w:fldChar w:fldCharType="separate"/>
          </w:r>
          <w:r>
            <w:rPr>
              <w:sz w:val="28"/>
              <w:szCs w:val="28"/>
            </w:rPr>
            <w:t>51</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"_Toc65060536" </w:instrText>
          </w:r>
          <w:r>
            <w:fldChar w:fldCharType="separate"/>
          </w:r>
          <w:r>
            <w:rPr>
              <w:rStyle w:val="19"/>
              <w:rFonts w:ascii="Times New Roman" w:hAnsi="Times New Roman" w:eastAsia="楷体" w:cstheme="majorBidi"/>
              <w:sz w:val="28"/>
              <w:szCs w:val="28"/>
            </w:rPr>
            <w:t>（二）建立绿色清洁能源网络</w:t>
          </w:r>
          <w:r>
            <w:rPr>
              <w:sz w:val="28"/>
              <w:szCs w:val="28"/>
            </w:rPr>
            <w:tab/>
          </w:r>
          <w:r>
            <w:rPr>
              <w:sz w:val="28"/>
              <w:szCs w:val="28"/>
            </w:rPr>
            <w:fldChar w:fldCharType="begin"/>
          </w:r>
          <w:r>
            <w:rPr>
              <w:sz w:val="28"/>
              <w:szCs w:val="28"/>
            </w:rPr>
            <w:instrText xml:space="preserve"> PAGEREF _Toc65060536 \h </w:instrText>
          </w:r>
          <w:r>
            <w:rPr>
              <w:sz w:val="28"/>
              <w:szCs w:val="28"/>
            </w:rPr>
            <w:fldChar w:fldCharType="separate"/>
          </w:r>
          <w:r>
            <w:rPr>
              <w:sz w:val="28"/>
              <w:szCs w:val="28"/>
            </w:rPr>
            <w:t>52</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"_Toc65060537" </w:instrText>
          </w:r>
          <w:r>
            <w:fldChar w:fldCharType="separate"/>
          </w:r>
          <w:r>
            <w:rPr>
              <w:rStyle w:val="19"/>
              <w:rFonts w:ascii="Times New Roman" w:hAnsi="Times New Roman" w:eastAsia="楷体" w:cstheme="majorBidi"/>
              <w:sz w:val="28"/>
              <w:szCs w:val="28"/>
            </w:rPr>
            <w:t>（三）建立安全稳固水利网络</w:t>
          </w:r>
          <w:r>
            <w:rPr>
              <w:sz w:val="28"/>
              <w:szCs w:val="28"/>
            </w:rPr>
            <w:tab/>
          </w:r>
          <w:r>
            <w:rPr>
              <w:sz w:val="28"/>
              <w:szCs w:val="28"/>
            </w:rPr>
            <w:fldChar w:fldCharType="begin"/>
          </w:r>
          <w:r>
            <w:rPr>
              <w:sz w:val="28"/>
              <w:szCs w:val="28"/>
            </w:rPr>
            <w:instrText xml:space="preserve"> PAGEREF _Toc65060537 \h </w:instrText>
          </w:r>
          <w:r>
            <w:rPr>
              <w:sz w:val="28"/>
              <w:szCs w:val="28"/>
            </w:rPr>
            <w:fldChar w:fldCharType="separate"/>
          </w:r>
          <w:r>
            <w:rPr>
              <w:sz w:val="28"/>
              <w:szCs w:val="28"/>
            </w:rPr>
            <w:t>53</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"_Toc65060538" </w:instrText>
          </w:r>
          <w:r>
            <w:fldChar w:fldCharType="separate"/>
          </w:r>
          <w:r>
            <w:rPr>
              <w:rStyle w:val="19"/>
              <w:rFonts w:ascii="Times New Roman" w:hAnsi="Times New Roman" w:eastAsia="楷体" w:cstheme="majorBidi"/>
              <w:sz w:val="28"/>
              <w:szCs w:val="28"/>
            </w:rPr>
            <w:t>（四）构筑数字化新型基础设施</w:t>
          </w:r>
          <w:r>
            <w:rPr>
              <w:sz w:val="28"/>
              <w:szCs w:val="28"/>
            </w:rPr>
            <w:tab/>
          </w:r>
          <w:r>
            <w:rPr>
              <w:sz w:val="28"/>
              <w:szCs w:val="28"/>
            </w:rPr>
            <w:fldChar w:fldCharType="begin"/>
          </w:r>
          <w:r>
            <w:rPr>
              <w:sz w:val="28"/>
              <w:szCs w:val="28"/>
            </w:rPr>
            <w:instrText xml:space="preserve"> PAGEREF _Toc65060538 \h </w:instrText>
          </w:r>
          <w:r>
            <w:rPr>
              <w:sz w:val="28"/>
              <w:szCs w:val="28"/>
            </w:rPr>
            <w:fldChar w:fldCharType="separate"/>
          </w:r>
          <w:r>
            <w:rPr>
              <w:sz w:val="28"/>
              <w:szCs w:val="28"/>
            </w:rPr>
            <w:t>53</w:t>
          </w:r>
          <w:r>
            <w:rPr>
              <w:sz w:val="28"/>
              <w:szCs w:val="28"/>
            </w:rPr>
            <w:fldChar w:fldCharType="end"/>
          </w:r>
          <w:r>
            <w:rPr>
              <w:sz w:val="28"/>
              <w:szCs w:val="28"/>
            </w:rPr>
            <w:fldChar w:fldCharType="end"/>
          </w:r>
        </w:p>
        <w:p>
          <w:pPr>
            <w:pStyle w:val="10"/>
            <w:tabs>
              <w:tab w:val="right" w:leader="dot" w:pos="8296"/>
            </w:tabs>
            <w:spacing w:line="560" w:lineRule="exact"/>
            <w:rPr>
              <w:sz w:val="28"/>
              <w:szCs w:val="28"/>
            </w:rPr>
          </w:pPr>
          <w:r>
            <w:fldChar w:fldCharType="begin"/>
          </w:r>
          <w:r>
            <w:instrText xml:space="preserve"> HYPERLINK \l "_Toc65060539" </w:instrText>
          </w:r>
          <w:r>
            <w:fldChar w:fldCharType="separate"/>
          </w:r>
          <w:r>
            <w:rPr>
              <w:rStyle w:val="19"/>
              <w:rFonts w:ascii="Times New Roman" w:hAnsi="Times New Roman" w:eastAsia="黑体" w:cs="Times New Roman"/>
              <w:sz w:val="28"/>
              <w:szCs w:val="28"/>
            </w:rPr>
            <w:t>九、全面推进生态文明建设，构建美丽田园新图景</w:t>
          </w:r>
          <w:r>
            <w:rPr>
              <w:sz w:val="28"/>
              <w:szCs w:val="28"/>
            </w:rPr>
            <w:tab/>
          </w:r>
          <w:r>
            <w:rPr>
              <w:sz w:val="28"/>
              <w:szCs w:val="28"/>
            </w:rPr>
            <w:fldChar w:fldCharType="begin"/>
          </w:r>
          <w:r>
            <w:rPr>
              <w:sz w:val="28"/>
              <w:szCs w:val="28"/>
            </w:rPr>
            <w:instrText xml:space="preserve"> PAGEREF _Toc65060539 \h </w:instrText>
          </w:r>
          <w:r>
            <w:rPr>
              <w:sz w:val="28"/>
              <w:szCs w:val="28"/>
            </w:rPr>
            <w:fldChar w:fldCharType="separate"/>
          </w:r>
          <w:r>
            <w:rPr>
              <w:sz w:val="28"/>
              <w:szCs w:val="28"/>
            </w:rPr>
            <w:t>55</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"_Toc65060540" </w:instrText>
          </w:r>
          <w:r>
            <w:fldChar w:fldCharType="separate"/>
          </w:r>
          <w:r>
            <w:rPr>
              <w:rStyle w:val="19"/>
              <w:rFonts w:ascii="Times New Roman" w:hAnsi="Times New Roman" w:eastAsia="楷体" w:cstheme="majorBidi"/>
              <w:sz w:val="28"/>
              <w:szCs w:val="28"/>
            </w:rPr>
            <w:t>（一）建设山水林田湖生命共同体</w:t>
          </w:r>
          <w:r>
            <w:rPr>
              <w:sz w:val="28"/>
              <w:szCs w:val="28"/>
            </w:rPr>
            <w:tab/>
          </w:r>
          <w:r>
            <w:rPr>
              <w:sz w:val="28"/>
              <w:szCs w:val="28"/>
            </w:rPr>
            <w:fldChar w:fldCharType="begin"/>
          </w:r>
          <w:r>
            <w:rPr>
              <w:sz w:val="28"/>
              <w:szCs w:val="28"/>
            </w:rPr>
            <w:instrText xml:space="preserve"> PAGEREF _Toc65060540 \h </w:instrText>
          </w:r>
          <w:r>
            <w:rPr>
              <w:sz w:val="28"/>
              <w:szCs w:val="28"/>
            </w:rPr>
            <w:fldChar w:fldCharType="separate"/>
          </w:r>
          <w:r>
            <w:rPr>
              <w:sz w:val="28"/>
              <w:szCs w:val="28"/>
            </w:rPr>
            <w:t>55</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"_Toc65060541" </w:instrText>
          </w:r>
          <w:r>
            <w:fldChar w:fldCharType="separate"/>
          </w:r>
          <w:r>
            <w:rPr>
              <w:rStyle w:val="19"/>
              <w:rFonts w:ascii="Times New Roman" w:hAnsi="Times New Roman" w:eastAsia="楷体" w:cstheme="majorBidi"/>
              <w:sz w:val="28"/>
              <w:szCs w:val="28"/>
            </w:rPr>
            <w:t>（二）构建三大循环化体系</w:t>
          </w:r>
          <w:r>
            <w:rPr>
              <w:sz w:val="28"/>
              <w:szCs w:val="28"/>
            </w:rPr>
            <w:tab/>
          </w:r>
          <w:r>
            <w:rPr>
              <w:sz w:val="28"/>
              <w:szCs w:val="28"/>
            </w:rPr>
            <w:fldChar w:fldCharType="begin"/>
          </w:r>
          <w:r>
            <w:rPr>
              <w:sz w:val="28"/>
              <w:szCs w:val="28"/>
            </w:rPr>
            <w:instrText xml:space="preserve"> PAGEREF _Toc65060541 \h </w:instrText>
          </w:r>
          <w:r>
            <w:rPr>
              <w:sz w:val="28"/>
              <w:szCs w:val="28"/>
            </w:rPr>
            <w:fldChar w:fldCharType="separate"/>
          </w:r>
          <w:r>
            <w:rPr>
              <w:sz w:val="28"/>
              <w:szCs w:val="28"/>
            </w:rPr>
            <w:t>55</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"_Toc65060542" </w:instrText>
          </w:r>
          <w:r>
            <w:fldChar w:fldCharType="separate"/>
          </w:r>
          <w:r>
            <w:rPr>
              <w:rStyle w:val="19"/>
              <w:rFonts w:ascii="Times New Roman" w:hAnsi="Times New Roman" w:eastAsia="楷体" w:cstheme="majorBidi"/>
              <w:sz w:val="28"/>
              <w:szCs w:val="28"/>
            </w:rPr>
            <w:t>（三）推进水更清天更蓝地更净</w:t>
          </w:r>
          <w:r>
            <w:rPr>
              <w:sz w:val="28"/>
              <w:szCs w:val="28"/>
            </w:rPr>
            <w:tab/>
          </w:r>
          <w:r>
            <w:rPr>
              <w:sz w:val="28"/>
              <w:szCs w:val="28"/>
            </w:rPr>
            <w:fldChar w:fldCharType="begin"/>
          </w:r>
          <w:r>
            <w:rPr>
              <w:sz w:val="28"/>
              <w:szCs w:val="28"/>
            </w:rPr>
            <w:instrText xml:space="preserve"> PAGEREF _Toc65060542 \h </w:instrText>
          </w:r>
          <w:r>
            <w:rPr>
              <w:sz w:val="28"/>
              <w:szCs w:val="28"/>
            </w:rPr>
            <w:fldChar w:fldCharType="separate"/>
          </w:r>
          <w:r>
            <w:rPr>
              <w:sz w:val="28"/>
              <w:szCs w:val="28"/>
            </w:rPr>
            <w:t>57</w:t>
          </w:r>
          <w:r>
            <w:rPr>
              <w:sz w:val="28"/>
              <w:szCs w:val="28"/>
            </w:rPr>
            <w:fldChar w:fldCharType="end"/>
          </w:r>
          <w:r>
            <w:rPr>
              <w:sz w:val="28"/>
              <w:szCs w:val="28"/>
            </w:rPr>
            <w:fldChar w:fldCharType="end"/>
          </w:r>
        </w:p>
        <w:p>
          <w:pPr>
            <w:pStyle w:val="10"/>
            <w:tabs>
              <w:tab w:val="right" w:leader="dot" w:pos="8296"/>
            </w:tabs>
            <w:spacing w:line="560" w:lineRule="exact"/>
            <w:rPr>
              <w:sz w:val="28"/>
              <w:szCs w:val="28"/>
            </w:rPr>
          </w:pPr>
          <w:r>
            <w:fldChar w:fldCharType="begin"/>
          </w:r>
          <w:r>
            <w:instrText xml:space="preserve"> HYPERLINK \l "_Toc65060543" </w:instrText>
          </w:r>
          <w:r>
            <w:fldChar w:fldCharType="separate"/>
          </w:r>
          <w:r>
            <w:rPr>
              <w:rStyle w:val="19"/>
              <w:rFonts w:ascii="Times New Roman" w:hAnsi="Times New Roman" w:eastAsia="黑体" w:cs="Times New Roman"/>
              <w:sz w:val="28"/>
              <w:szCs w:val="28"/>
            </w:rPr>
            <w:t>十、全面补齐民生发展短板，构建全民共享幸福新家园</w:t>
          </w:r>
          <w:r>
            <w:rPr>
              <w:sz w:val="28"/>
              <w:szCs w:val="28"/>
            </w:rPr>
            <w:tab/>
          </w:r>
          <w:r>
            <w:rPr>
              <w:sz w:val="28"/>
              <w:szCs w:val="28"/>
            </w:rPr>
            <w:fldChar w:fldCharType="begin"/>
          </w:r>
          <w:r>
            <w:rPr>
              <w:sz w:val="28"/>
              <w:szCs w:val="28"/>
            </w:rPr>
            <w:instrText xml:space="preserve"> PAGEREF _Toc65060543 \h </w:instrText>
          </w:r>
          <w:r>
            <w:rPr>
              <w:sz w:val="28"/>
              <w:szCs w:val="28"/>
            </w:rPr>
            <w:fldChar w:fldCharType="separate"/>
          </w:r>
          <w:r>
            <w:rPr>
              <w:sz w:val="28"/>
              <w:szCs w:val="28"/>
            </w:rPr>
            <w:t>59</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"_Toc65060544" </w:instrText>
          </w:r>
          <w:r>
            <w:fldChar w:fldCharType="separate"/>
          </w:r>
          <w:r>
            <w:rPr>
              <w:rStyle w:val="19"/>
              <w:rFonts w:ascii="Times New Roman" w:hAnsi="Times New Roman" w:eastAsia="楷体" w:cstheme="majorBidi"/>
              <w:sz w:val="28"/>
              <w:szCs w:val="28"/>
            </w:rPr>
            <w:t>（一）率先基本实现教育现代化</w:t>
          </w:r>
          <w:r>
            <w:rPr>
              <w:sz w:val="28"/>
              <w:szCs w:val="28"/>
            </w:rPr>
            <w:tab/>
          </w:r>
          <w:r>
            <w:rPr>
              <w:sz w:val="28"/>
              <w:szCs w:val="28"/>
            </w:rPr>
            <w:fldChar w:fldCharType="begin"/>
          </w:r>
          <w:r>
            <w:rPr>
              <w:sz w:val="28"/>
              <w:szCs w:val="28"/>
            </w:rPr>
            <w:instrText xml:space="preserve"> PAGEREF _Toc65060544 \h </w:instrText>
          </w:r>
          <w:r>
            <w:rPr>
              <w:sz w:val="28"/>
              <w:szCs w:val="28"/>
            </w:rPr>
            <w:fldChar w:fldCharType="separate"/>
          </w:r>
          <w:r>
            <w:rPr>
              <w:sz w:val="28"/>
              <w:szCs w:val="28"/>
            </w:rPr>
            <w:t>59</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"_Toc65060545" </w:instrText>
          </w:r>
          <w:r>
            <w:fldChar w:fldCharType="separate"/>
          </w:r>
          <w:r>
            <w:rPr>
              <w:rStyle w:val="19"/>
              <w:rFonts w:ascii="Times New Roman" w:hAnsi="Times New Roman" w:eastAsia="楷体" w:cstheme="majorBidi"/>
              <w:sz w:val="28"/>
              <w:szCs w:val="28"/>
            </w:rPr>
            <w:t>（二）推进更加充分可靠的就业和社会保障</w:t>
          </w:r>
          <w:r>
            <w:rPr>
              <w:sz w:val="28"/>
              <w:szCs w:val="28"/>
            </w:rPr>
            <w:tab/>
          </w:r>
          <w:r>
            <w:rPr>
              <w:sz w:val="28"/>
              <w:szCs w:val="28"/>
            </w:rPr>
            <w:fldChar w:fldCharType="begin"/>
          </w:r>
          <w:r>
            <w:rPr>
              <w:sz w:val="28"/>
              <w:szCs w:val="28"/>
            </w:rPr>
            <w:instrText xml:space="preserve"> PAGEREF _Toc65060545 \h </w:instrText>
          </w:r>
          <w:r>
            <w:rPr>
              <w:sz w:val="28"/>
              <w:szCs w:val="28"/>
            </w:rPr>
            <w:fldChar w:fldCharType="separate"/>
          </w:r>
          <w:r>
            <w:rPr>
              <w:sz w:val="28"/>
              <w:szCs w:val="28"/>
            </w:rPr>
            <w:t>60</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"_Toc65060546" </w:instrText>
          </w:r>
          <w:r>
            <w:fldChar w:fldCharType="separate"/>
          </w:r>
          <w:r>
            <w:rPr>
              <w:rStyle w:val="19"/>
              <w:rFonts w:ascii="Times New Roman" w:hAnsi="Times New Roman" w:eastAsia="楷体" w:cstheme="majorBidi"/>
              <w:sz w:val="28"/>
              <w:szCs w:val="28"/>
            </w:rPr>
            <w:t>（三）建设更高水准的健康夏邑</w:t>
          </w:r>
          <w:r>
            <w:rPr>
              <w:sz w:val="28"/>
              <w:szCs w:val="28"/>
            </w:rPr>
            <w:tab/>
          </w:r>
          <w:r>
            <w:rPr>
              <w:sz w:val="28"/>
              <w:szCs w:val="28"/>
            </w:rPr>
            <w:fldChar w:fldCharType="begin"/>
          </w:r>
          <w:r>
            <w:rPr>
              <w:sz w:val="28"/>
              <w:szCs w:val="28"/>
            </w:rPr>
            <w:instrText xml:space="preserve"> PAGEREF _Toc65060546 \h </w:instrText>
          </w:r>
          <w:r>
            <w:rPr>
              <w:sz w:val="28"/>
              <w:szCs w:val="28"/>
            </w:rPr>
            <w:fldChar w:fldCharType="separate"/>
          </w:r>
          <w:r>
            <w:rPr>
              <w:sz w:val="28"/>
              <w:szCs w:val="28"/>
            </w:rPr>
            <w:t>62</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"_Toc65060547" </w:instrText>
          </w:r>
          <w:r>
            <w:fldChar w:fldCharType="separate"/>
          </w:r>
          <w:r>
            <w:rPr>
              <w:rStyle w:val="19"/>
              <w:rFonts w:ascii="Times New Roman" w:hAnsi="Times New Roman" w:eastAsia="楷体" w:cstheme="majorBidi"/>
              <w:sz w:val="28"/>
              <w:szCs w:val="28"/>
            </w:rPr>
            <w:t>（四）建立积极应对老龄化的服务体系</w:t>
          </w:r>
          <w:r>
            <w:rPr>
              <w:sz w:val="28"/>
              <w:szCs w:val="28"/>
            </w:rPr>
            <w:tab/>
          </w:r>
          <w:r>
            <w:rPr>
              <w:sz w:val="28"/>
              <w:szCs w:val="28"/>
            </w:rPr>
            <w:fldChar w:fldCharType="begin"/>
          </w:r>
          <w:r>
            <w:rPr>
              <w:sz w:val="28"/>
              <w:szCs w:val="28"/>
            </w:rPr>
            <w:instrText xml:space="preserve"> PAGEREF _Toc65060547 \h </w:instrText>
          </w:r>
          <w:r>
            <w:rPr>
              <w:sz w:val="28"/>
              <w:szCs w:val="28"/>
            </w:rPr>
            <w:fldChar w:fldCharType="separate"/>
          </w:r>
          <w:r>
            <w:rPr>
              <w:sz w:val="28"/>
              <w:szCs w:val="28"/>
            </w:rPr>
            <w:t>64</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"_Toc65060548" </w:instrText>
          </w:r>
          <w:r>
            <w:fldChar w:fldCharType="separate"/>
          </w:r>
          <w:r>
            <w:rPr>
              <w:rStyle w:val="19"/>
              <w:rFonts w:ascii="Times New Roman" w:hAnsi="Times New Roman" w:eastAsia="楷体" w:cstheme="majorBidi"/>
              <w:sz w:val="28"/>
              <w:szCs w:val="28"/>
            </w:rPr>
            <w:t>（五）让各类人群拥有更好的生活</w:t>
          </w:r>
          <w:r>
            <w:rPr>
              <w:sz w:val="28"/>
              <w:szCs w:val="28"/>
            </w:rPr>
            <w:tab/>
          </w:r>
          <w:r>
            <w:rPr>
              <w:sz w:val="28"/>
              <w:szCs w:val="28"/>
            </w:rPr>
            <w:fldChar w:fldCharType="begin"/>
          </w:r>
          <w:r>
            <w:rPr>
              <w:sz w:val="28"/>
              <w:szCs w:val="28"/>
            </w:rPr>
            <w:instrText xml:space="preserve"> PAGEREF _Toc65060548 \h </w:instrText>
          </w:r>
          <w:r>
            <w:rPr>
              <w:sz w:val="28"/>
              <w:szCs w:val="28"/>
            </w:rPr>
            <w:fldChar w:fldCharType="separate"/>
          </w:r>
          <w:r>
            <w:rPr>
              <w:sz w:val="28"/>
              <w:szCs w:val="28"/>
            </w:rPr>
            <w:t>66</w:t>
          </w:r>
          <w:r>
            <w:rPr>
              <w:sz w:val="28"/>
              <w:szCs w:val="28"/>
            </w:rPr>
            <w:fldChar w:fldCharType="end"/>
          </w:r>
          <w:r>
            <w:rPr>
              <w:sz w:val="28"/>
              <w:szCs w:val="28"/>
            </w:rPr>
            <w:fldChar w:fldCharType="end"/>
          </w:r>
        </w:p>
        <w:p>
          <w:pPr>
            <w:pStyle w:val="10"/>
            <w:tabs>
              <w:tab w:val="right" w:leader="dot" w:pos="8296"/>
            </w:tabs>
            <w:spacing w:line="560" w:lineRule="exact"/>
            <w:rPr>
              <w:sz w:val="28"/>
              <w:szCs w:val="28"/>
            </w:rPr>
          </w:pPr>
          <w:r>
            <w:fldChar w:fldCharType="begin"/>
          </w:r>
          <w:r>
            <w:instrText xml:space="preserve"> HYPERLINK \l "_Toc65060549" </w:instrText>
          </w:r>
          <w:r>
            <w:fldChar w:fldCharType="separate"/>
          </w:r>
          <w:r>
            <w:rPr>
              <w:rStyle w:val="19"/>
              <w:rFonts w:ascii="Times New Roman" w:hAnsi="Times New Roman" w:eastAsia="黑体" w:cs="Times New Roman"/>
              <w:sz w:val="28"/>
              <w:szCs w:val="28"/>
            </w:rPr>
            <w:t>十一、全面打造文化强县名片，构建现代化文明展示新窗口</w:t>
          </w:r>
          <w:r>
            <w:rPr>
              <w:sz w:val="28"/>
              <w:szCs w:val="28"/>
            </w:rPr>
            <w:tab/>
          </w:r>
          <w:r>
            <w:rPr>
              <w:sz w:val="28"/>
              <w:szCs w:val="28"/>
            </w:rPr>
            <w:fldChar w:fldCharType="begin"/>
          </w:r>
          <w:r>
            <w:rPr>
              <w:sz w:val="28"/>
              <w:szCs w:val="28"/>
            </w:rPr>
            <w:instrText xml:space="preserve"> PAGEREF _Toc65060549 \h </w:instrText>
          </w:r>
          <w:r>
            <w:rPr>
              <w:sz w:val="28"/>
              <w:szCs w:val="28"/>
            </w:rPr>
            <w:fldChar w:fldCharType="separate"/>
          </w:r>
          <w:r>
            <w:rPr>
              <w:sz w:val="28"/>
              <w:szCs w:val="28"/>
            </w:rPr>
            <w:t>68</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"_Toc65060550" </w:instrText>
          </w:r>
          <w:r>
            <w:fldChar w:fldCharType="separate"/>
          </w:r>
          <w:r>
            <w:rPr>
              <w:rStyle w:val="19"/>
              <w:rFonts w:ascii="Times New Roman" w:hAnsi="Times New Roman" w:eastAsia="楷体" w:cstheme="majorBidi"/>
              <w:sz w:val="28"/>
              <w:szCs w:val="28"/>
            </w:rPr>
            <w:t>（一）全面提升社会文明程度</w:t>
          </w:r>
          <w:r>
            <w:rPr>
              <w:sz w:val="28"/>
              <w:szCs w:val="28"/>
            </w:rPr>
            <w:tab/>
          </w:r>
          <w:r>
            <w:rPr>
              <w:sz w:val="28"/>
              <w:szCs w:val="28"/>
            </w:rPr>
            <w:fldChar w:fldCharType="begin"/>
          </w:r>
          <w:r>
            <w:rPr>
              <w:sz w:val="28"/>
              <w:szCs w:val="28"/>
            </w:rPr>
            <w:instrText xml:space="preserve"> PAGEREF _Toc65060550 \h </w:instrText>
          </w:r>
          <w:r>
            <w:rPr>
              <w:sz w:val="28"/>
              <w:szCs w:val="28"/>
            </w:rPr>
            <w:fldChar w:fldCharType="separate"/>
          </w:r>
          <w:r>
            <w:rPr>
              <w:sz w:val="28"/>
              <w:szCs w:val="28"/>
            </w:rPr>
            <w:t>68</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"_Toc65060551" </w:instrText>
          </w:r>
          <w:r>
            <w:fldChar w:fldCharType="separate"/>
          </w:r>
          <w:r>
            <w:rPr>
              <w:rStyle w:val="19"/>
              <w:rFonts w:ascii="Times New Roman" w:hAnsi="Times New Roman" w:eastAsia="楷体" w:cstheme="majorBidi"/>
              <w:sz w:val="28"/>
              <w:szCs w:val="28"/>
            </w:rPr>
            <w:t>（二）精心打造夏邑两大“会客厅”，合力打造“三驾马车”</w:t>
          </w:r>
          <w:r>
            <w:rPr>
              <w:sz w:val="28"/>
              <w:szCs w:val="28"/>
            </w:rPr>
            <w:tab/>
          </w:r>
          <w:r>
            <w:rPr>
              <w:sz w:val="28"/>
              <w:szCs w:val="28"/>
            </w:rPr>
            <w:fldChar w:fldCharType="begin"/>
          </w:r>
          <w:r>
            <w:rPr>
              <w:sz w:val="28"/>
              <w:szCs w:val="28"/>
            </w:rPr>
            <w:instrText xml:space="preserve"> PAGEREF _Toc65060551 \h </w:instrText>
          </w:r>
          <w:r>
            <w:rPr>
              <w:sz w:val="28"/>
              <w:szCs w:val="28"/>
            </w:rPr>
            <w:fldChar w:fldCharType="separate"/>
          </w:r>
          <w:r>
            <w:rPr>
              <w:sz w:val="28"/>
              <w:szCs w:val="28"/>
            </w:rPr>
            <w:t>69</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"_Toc65060552" </w:instrText>
          </w:r>
          <w:r>
            <w:fldChar w:fldCharType="separate"/>
          </w:r>
          <w:r>
            <w:rPr>
              <w:rStyle w:val="19"/>
              <w:rFonts w:ascii="Times New Roman" w:hAnsi="Times New Roman" w:eastAsia="楷体" w:cstheme="majorBidi"/>
              <w:sz w:val="28"/>
              <w:szCs w:val="28"/>
            </w:rPr>
            <w:t>（三）传承创新夏邑特色文化基因</w:t>
          </w:r>
          <w:r>
            <w:rPr>
              <w:sz w:val="28"/>
              <w:szCs w:val="28"/>
            </w:rPr>
            <w:tab/>
          </w:r>
          <w:r>
            <w:rPr>
              <w:sz w:val="28"/>
              <w:szCs w:val="28"/>
            </w:rPr>
            <w:fldChar w:fldCharType="begin"/>
          </w:r>
          <w:r>
            <w:rPr>
              <w:sz w:val="28"/>
              <w:szCs w:val="28"/>
            </w:rPr>
            <w:instrText xml:space="preserve"> PAGEREF _Toc65060552 \h </w:instrText>
          </w:r>
          <w:r>
            <w:rPr>
              <w:sz w:val="28"/>
              <w:szCs w:val="28"/>
            </w:rPr>
            <w:fldChar w:fldCharType="separate"/>
          </w:r>
          <w:r>
            <w:rPr>
              <w:sz w:val="28"/>
              <w:szCs w:val="28"/>
            </w:rPr>
            <w:t>70</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"_Toc65060553" </w:instrText>
          </w:r>
          <w:r>
            <w:fldChar w:fldCharType="separate"/>
          </w:r>
          <w:r>
            <w:rPr>
              <w:rStyle w:val="19"/>
              <w:rFonts w:ascii="Times New Roman" w:hAnsi="Times New Roman" w:eastAsia="楷体" w:cstheme="majorBidi"/>
              <w:sz w:val="28"/>
              <w:szCs w:val="28"/>
            </w:rPr>
            <w:t>（四）提升公共文化服务水平</w:t>
          </w:r>
          <w:r>
            <w:rPr>
              <w:sz w:val="28"/>
              <w:szCs w:val="28"/>
            </w:rPr>
            <w:tab/>
          </w:r>
          <w:r>
            <w:rPr>
              <w:sz w:val="28"/>
              <w:szCs w:val="28"/>
            </w:rPr>
            <w:fldChar w:fldCharType="begin"/>
          </w:r>
          <w:r>
            <w:rPr>
              <w:sz w:val="28"/>
              <w:szCs w:val="28"/>
            </w:rPr>
            <w:instrText xml:space="preserve"> PAGEREF _Toc65060553 \h </w:instrText>
          </w:r>
          <w:r>
            <w:rPr>
              <w:sz w:val="28"/>
              <w:szCs w:val="28"/>
            </w:rPr>
            <w:fldChar w:fldCharType="separate"/>
          </w:r>
          <w:r>
            <w:rPr>
              <w:sz w:val="28"/>
              <w:szCs w:val="28"/>
            </w:rPr>
            <w:t>70</w:t>
          </w:r>
          <w:r>
            <w:rPr>
              <w:sz w:val="28"/>
              <w:szCs w:val="28"/>
            </w:rPr>
            <w:fldChar w:fldCharType="end"/>
          </w:r>
          <w:r>
            <w:rPr>
              <w:sz w:val="28"/>
              <w:szCs w:val="28"/>
            </w:rPr>
            <w:fldChar w:fldCharType="end"/>
          </w:r>
        </w:p>
        <w:p>
          <w:pPr>
            <w:pStyle w:val="10"/>
            <w:tabs>
              <w:tab w:val="right" w:leader="dot" w:pos="8296"/>
            </w:tabs>
            <w:spacing w:line="560" w:lineRule="exact"/>
            <w:rPr>
              <w:sz w:val="28"/>
              <w:szCs w:val="28"/>
            </w:rPr>
          </w:pPr>
          <w:r>
            <w:fldChar w:fldCharType="begin"/>
          </w:r>
          <w:r>
            <w:instrText xml:space="preserve"> HYPERLINK \l "_Toc65060554" </w:instrText>
          </w:r>
          <w:r>
            <w:fldChar w:fldCharType="separate"/>
          </w:r>
          <w:r>
            <w:rPr>
              <w:rStyle w:val="19"/>
              <w:rFonts w:ascii="Times New Roman" w:hAnsi="Times New Roman" w:eastAsia="黑体" w:cs="Times New Roman"/>
              <w:sz w:val="28"/>
              <w:szCs w:val="28"/>
            </w:rPr>
            <w:t>十二、全面提升发展安全保障水平，构建县域治理现代化新环境</w:t>
          </w:r>
          <w:r>
            <w:rPr>
              <w:sz w:val="28"/>
              <w:szCs w:val="28"/>
            </w:rPr>
            <w:tab/>
          </w:r>
          <w:r>
            <w:rPr>
              <w:sz w:val="28"/>
              <w:szCs w:val="28"/>
            </w:rPr>
            <w:fldChar w:fldCharType="begin"/>
          </w:r>
          <w:r>
            <w:rPr>
              <w:sz w:val="28"/>
              <w:szCs w:val="28"/>
            </w:rPr>
            <w:instrText xml:space="preserve"> PAGEREF _Toc65060554 \h </w:instrText>
          </w:r>
          <w:r>
            <w:rPr>
              <w:sz w:val="28"/>
              <w:szCs w:val="28"/>
            </w:rPr>
            <w:fldChar w:fldCharType="separate"/>
          </w:r>
          <w:r>
            <w:rPr>
              <w:sz w:val="28"/>
              <w:szCs w:val="28"/>
            </w:rPr>
            <w:t>73</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"_Toc65060555" </w:instrText>
          </w:r>
          <w:r>
            <w:fldChar w:fldCharType="separate"/>
          </w:r>
          <w:r>
            <w:rPr>
              <w:rStyle w:val="19"/>
              <w:rFonts w:ascii="Times New Roman" w:hAnsi="Times New Roman" w:eastAsia="楷体" w:cstheme="majorBidi"/>
              <w:sz w:val="28"/>
              <w:szCs w:val="28"/>
            </w:rPr>
            <w:t>（一）推进社会治理现代化建设</w:t>
          </w:r>
          <w:r>
            <w:rPr>
              <w:sz w:val="28"/>
              <w:szCs w:val="28"/>
            </w:rPr>
            <w:tab/>
          </w:r>
          <w:r>
            <w:rPr>
              <w:sz w:val="28"/>
              <w:szCs w:val="28"/>
            </w:rPr>
            <w:fldChar w:fldCharType="begin"/>
          </w:r>
          <w:r>
            <w:rPr>
              <w:sz w:val="28"/>
              <w:szCs w:val="28"/>
            </w:rPr>
            <w:instrText xml:space="preserve"> PAGEREF _Toc65060555 \h </w:instrText>
          </w:r>
          <w:r>
            <w:rPr>
              <w:sz w:val="28"/>
              <w:szCs w:val="28"/>
            </w:rPr>
            <w:fldChar w:fldCharType="separate"/>
          </w:r>
          <w:r>
            <w:rPr>
              <w:sz w:val="28"/>
              <w:szCs w:val="28"/>
            </w:rPr>
            <w:t>73</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"_Toc65060556" </w:instrText>
          </w:r>
          <w:r>
            <w:fldChar w:fldCharType="separate"/>
          </w:r>
          <w:r>
            <w:rPr>
              <w:rStyle w:val="19"/>
              <w:rFonts w:ascii="Times New Roman" w:hAnsi="Times New Roman" w:eastAsia="楷体" w:cstheme="majorBidi"/>
              <w:sz w:val="28"/>
              <w:szCs w:val="28"/>
            </w:rPr>
            <w:t>（二）加快建设平安夏邑</w:t>
          </w:r>
          <w:r>
            <w:rPr>
              <w:sz w:val="28"/>
              <w:szCs w:val="28"/>
            </w:rPr>
            <w:tab/>
          </w:r>
          <w:r>
            <w:rPr>
              <w:sz w:val="28"/>
              <w:szCs w:val="28"/>
            </w:rPr>
            <w:fldChar w:fldCharType="begin"/>
          </w:r>
          <w:r>
            <w:rPr>
              <w:sz w:val="28"/>
              <w:szCs w:val="28"/>
            </w:rPr>
            <w:instrText xml:space="preserve"> PAGEREF _Toc65060556 \h </w:instrText>
          </w:r>
          <w:r>
            <w:rPr>
              <w:sz w:val="28"/>
              <w:szCs w:val="28"/>
            </w:rPr>
            <w:fldChar w:fldCharType="separate"/>
          </w:r>
          <w:r>
            <w:rPr>
              <w:sz w:val="28"/>
              <w:szCs w:val="28"/>
            </w:rPr>
            <w:t>74</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"_Toc65060557" </w:instrText>
          </w:r>
          <w:r>
            <w:fldChar w:fldCharType="separate"/>
          </w:r>
          <w:r>
            <w:rPr>
              <w:rStyle w:val="19"/>
              <w:rFonts w:ascii="Times New Roman" w:hAnsi="Times New Roman" w:eastAsia="楷体" w:cstheme="majorBidi"/>
              <w:sz w:val="28"/>
              <w:szCs w:val="28"/>
            </w:rPr>
            <w:t>（三）推动建设信用夏邑</w:t>
          </w:r>
          <w:r>
            <w:rPr>
              <w:sz w:val="28"/>
              <w:szCs w:val="28"/>
            </w:rPr>
            <w:tab/>
          </w:r>
          <w:r>
            <w:rPr>
              <w:sz w:val="28"/>
              <w:szCs w:val="28"/>
            </w:rPr>
            <w:fldChar w:fldCharType="begin"/>
          </w:r>
          <w:r>
            <w:rPr>
              <w:sz w:val="28"/>
              <w:szCs w:val="28"/>
            </w:rPr>
            <w:instrText xml:space="preserve"> PAGEREF _Toc65060557 \h </w:instrText>
          </w:r>
          <w:r>
            <w:rPr>
              <w:sz w:val="28"/>
              <w:szCs w:val="28"/>
            </w:rPr>
            <w:fldChar w:fldCharType="separate"/>
          </w:r>
          <w:r>
            <w:rPr>
              <w:sz w:val="28"/>
              <w:szCs w:val="28"/>
            </w:rPr>
            <w:t>76</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"_Toc65060558" </w:instrText>
          </w:r>
          <w:r>
            <w:fldChar w:fldCharType="separate"/>
          </w:r>
          <w:r>
            <w:rPr>
              <w:rStyle w:val="19"/>
              <w:rFonts w:ascii="Times New Roman" w:hAnsi="Times New Roman" w:eastAsia="楷体" w:cstheme="majorBidi"/>
              <w:sz w:val="28"/>
              <w:szCs w:val="28"/>
            </w:rPr>
            <w:t>（四）全面建设法治夏邑</w:t>
          </w:r>
          <w:r>
            <w:rPr>
              <w:sz w:val="28"/>
              <w:szCs w:val="28"/>
            </w:rPr>
            <w:tab/>
          </w:r>
          <w:r>
            <w:rPr>
              <w:sz w:val="28"/>
              <w:szCs w:val="28"/>
            </w:rPr>
            <w:fldChar w:fldCharType="begin"/>
          </w:r>
          <w:r>
            <w:rPr>
              <w:sz w:val="28"/>
              <w:szCs w:val="28"/>
            </w:rPr>
            <w:instrText xml:space="preserve"> PAGEREF _Toc65060558 \h </w:instrText>
          </w:r>
          <w:r>
            <w:rPr>
              <w:sz w:val="28"/>
              <w:szCs w:val="28"/>
            </w:rPr>
            <w:fldChar w:fldCharType="separate"/>
          </w:r>
          <w:r>
            <w:rPr>
              <w:sz w:val="28"/>
              <w:szCs w:val="28"/>
            </w:rPr>
            <w:t>77</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"_Toc65060559" </w:instrText>
          </w:r>
          <w:r>
            <w:fldChar w:fldCharType="separate"/>
          </w:r>
          <w:r>
            <w:rPr>
              <w:rStyle w:val="19"/>
              <w:rFonts w:ascii="Times New Roman" w:hAnsi="Times New Roman" w:eastAsia="楷体" w:cstheme="majorBidi"/>
              <w:sz w:val="28"/>
              <w:szCs w:val="28"/>
            </w:rPr>
            <w:t>（五）防范化解各类风险</w:t>
          </w:r>
          <w:r>
            <w:rPr>
              <w:sz w:val="28"/>
              <w:szCs w:val="28"/>
            </w:rPr>
            <w:tab/>
          </w:r>
          <w:r>
            <w:rPr>
              <w:sz w:val="28"/>
              <w:szCs w:val="28"/>
            </w:rPr>
            <w:fldChar w:fldCharType="begin"/>
          </w:r>
          <w:r>
            <w:rPr>
              <w:sz w:val="28"/>
              <w:szCs w:val="28"/>
            </w:rPr>
            <w:instrText xml:space="preserve"> PAGEREF _Toc65060559 \h </w:instrText>
          </w:r>
          <w:r>
            <w:rPr>
              <w:sz w:val="28"/>
              <w:szCs w:val="28"/>
            </w:rPr>
            <w:fldChar w:fldCharType="separate"/>
          </w:r>
          <w:r>
            <w:rPr>
              <w:sz w:val="28"/>
              <w:szCs w:val="28"/>
            </w:rPr>
            <w:t>78</w:t>
          </w:r>
          <w:r>
            <w:rPr>
              <w:sz w:val="28"/>
              <w:szCs w:val="28"/>
            </w:rPr>
            <w:fldChar w:fldCharType="end"/>
          </w:r>
          <w:r>
            <w:rPr>
              <w:sz w:val="28"/>
              <w:szCs w:val="28"/>
            </w:rPr>
            <w:fldChar w:fldCharType="end"/>
          </w:r>
        </w:p>
        <w:p>
          <w:pPr>
            <w:pStyle w:val="10"/>
            <w:tabs>
              <w:tab w:val="right" w:leader="dot" w:pos="8296"/>
            </w:tabs>
            <w:spacing w:line="560" w:lineRule="exact"/>
            <w:rPr>
              <w:sz w:val="28"/>
              <w:szCs w:val="28"/>
            </w:rPr>
          </w:pPr>
          <w:r>
            <w:fldChar w:fldCharType="begin"/>
          </w:r>
          <w:r>
            <w:instrText xml:space="preserve"> HYPERLINK \l "_Toc65060560" </w:instrText>
          </w:r>
          <w:r>
            <w:fldChar w:fldCharType="separate"/>
          </w:r>
          <w:r>
            <w:rPr>
              <w:rStyle w:val="19"/>
              <w:rFonts w:ascii="Times New Roman" w:hAnsi="Times New Roman" w:eastAsia="黑体" w:cs="Times New Roman"/>
              <w:sz w:val="28"/>
              <w:szCs w:val="28"/>
            </w:rPr>
            <w:t>十三、全面强化统筹协调，构建规划实施保障新机制</w:t>
          </w:r>
          <w:r>
            <w:rPr>
              <w:sz w:val="28"/>
              <w:szCs w:val="28"/>
            </w:rPr>
            <w:tab/>
          </w:r>
          <w:r>
            <w:rPr>
              <w:sz w:val="28"/>
              <w:szCs w:val="28"/>
            </w:rPr>
            <w:fldChar w:fldCharType="begin"/>
          </w:r>
          <w:r>
            <w:rPr>
              <w:sz w:val="28"/>
              <w:szCs w:val="28"/>
            </w:rPr>
            <w:instrText xml:space="preserve"> PAGEREF _Toc65060560 \h </w:instrText>
          </w:r>
          <w:r>
            <w:rPr>
              <w:sz w:val="28"/>
              <w:szCs w:val="28"/>
            </w:rPr>
            <w:fldChar w:fldCharType="separate"/>
          </w:r>
          <w:r>
            <w:rPr>
              <w:sz w:val="28"/>
              <w:szCs w:val="28"/>
            </w:rPr>
            <w:t>79</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"_Toc65060561" </w:instrText>
          </w:r>
          <w:r>
            <w:fldChar w:fldCharType="separate"/>
          </w:r>
          <w:r>
            <w:rPr>
              <w:rStyle w:val="19"/>
              <w:rFonts w:ascii="Times New Roman" w:hAnsi="Times New Roman" w:eastAsia="楷体" w:cstheme="majorBidi"/>
              <w:sz w:val="28"/>
              <w:szCs w:val="28"/>
            </w:rPr>
            <w:t>（一）发挥党的核心领导作用</w:t>
          </w:r>
          <w:r>
            <w:rPr>
              <w:sz w:val="28"/>
              <w:szCs w:val="28"/>
            </w:rPr>
            <w:tab/>
          </w:r>
          <w:r>
            <w:rPr>
              <w:sz w:val="28"/>
              <w:szCs w:val="28"/>
            </w:rPr>
            <w:fldChar w:fldCharType="begin"/>
          </w:r>
          <w:r>
            <w:rPr>
              <w:sz w:val="28"/>
              <w:szCs w:val="28"/>
            </w:rPr>
            <w:instrText xml:space="preserve"> PAGEREF _Toc65060561 \h </w:instrText>
          </w:r>
          <w:r>
            <w:rPr>
              <w:sz w:val="28"/>
              <w:szCs w:val="28"/>
            </w:rPr>
            <w:fldChar w:fldCharType="separate"/>
          </w:r>
          <w:r>
            <w:rPr>
              <w:sz w:val="28"/>
              <w:szCs w:val="28"/>
            </w:rPr>
            <w:t>79</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"_Toc65060562" </w:instrText>
          </w:r>
          <w:r>
            <w:fldChar w:fldCharType="separate"/>
          </w:r>
          <w:r>
            <w:rPr>
              <w:rStyle w:val="19"/>
              <w:rFonts w:ascii="Times New Roman" w:hAnsi="Times New Roman" w:eastAsia="楷体" w:cstheme="majorBidi"/>
              <w:sz w:val="28"/>
              <w:szCs w:val="28"/>
            </w:rPr>
            <w:t>（二）强化规划实施的要素供给保障</w:t>
          </w:r>
          <w:r>
            <w:rPr>
              <w:sz w:val="28"/>
              <w:szCs w:val="28"/>
            </w:rPr>
            <w:tab/>
          </w:r>
          <w:r>
            <w:rPr>
              <w:sz w:val="28"/>
              <w:szCs w:val="28"/>
            </w:rPr>
            <w:fldChar w:fldCharType="begin"/>
          </w:r>
          <w:r>
            <w:rPr>
              <w:sz w:val="28"/>
              <w:szCs w:val="28"/>
            </w:rPr>
            <w:instrText xml:space="preserve"> PAGEREF _Toc65060562 \h </w:instrText>
          </w:r>
          <w:r>
            <w:rPr>
              <w:sz w:val="28"/>
              <w:szCs w:val="28"/>
            </w:rPr>
            <w:fldChar w:fldCharType="separate"/>
          </w:r>
          <w:r>
            <w:rPr>
              <w:sz w:val="28"/>
              <w:szCs w:val="28"/>
            </w:rPr>
            <w:t>79</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"_Toc65060563" </w:instrText>
          </w:r>
          <w:r>
            <w:fldChar w:fldCharType="separate"/>
          </w:r>
          <w:r>
            <w:rPr>
              <w:rStyle w:val="19"/>
              <w:rFonts w:ascii="Times New Roman" w:hAnsi="Times New Roman" w:eastAsia="楷体" w:cstheme="majorBidi"/>
              <w:sz w:val="28"/>
              <w:szCs w:val="28"/>
            </w:rPr>
            <w:t>（三）完善重大项目谋划管理</w:t>
          </w:r>
          <w:r>
            <w:rPr>
              <w:sz w:val="28"/>
              <w:szCs w:val="28"/>
            </w:rPr>
            <w:tab/>
          </w:r>
          <w:r>
            <w:rPr>
              <w:sz w:val="28"/>
              <w:szCs w:val="28"/>
            </w:rPr>
            <w:fldChar w:fldCharType="begin"/>
          </w:r>
          <w:r>
            <w:rPr>
              <w:sz w:val="28"/>
              <w:szCs w:val="28"/>
            </w:rPr>
            <w:instrText xml:space="preserve"> PAGEREF _Toc65060563 \h </w:instrText>
          </w:r>
          <w:r>
            <w:rPr>
              <w:sz w:val="28"/>
              <w:szCs w:val="28"/>
            </w:rPr>
            <w:fldChar w:fldCharType="separate"/>
          </w:r>
          <w:r>
            <w:rPr>
              <w:sz w:val="28"/>
              <w:szCs w:val="28"/>
            </w:rPr>
            <w:t>80</w:t>
          </w:r>
          <w:r>
            <w:rPr>
              <w:sz w:val="28"/>
              <w:szCs w:val="28"/>
            </w:rPr>
            <w:fldChar w:fldCharType="end"/>
          </w:r>
          <w:r>
            <w:rPr>
              <w:sz w:val="28"/>
              <w:szCs w:val="28"/>
            </w:rPr>
            <w:fldChar w:fldCharType="end"/>
          </w:r>
        </w:p>
        <w:p>
          <w:pPr>
            <w:pStyle w:val="12"/>
            <w:spacing w:line="560" w:lineRule="exact"/>
            <w:rPr>
              <w:sz w:val="28"/>
              <w:szCs w:val="28"/>
            </w:rPr>
          </w:pPr>
          <w:r>
            <w:fldChar w:fldCharType="begin"/>
          </w:r>
          <w:r>
            <w:instrText xml:space="preserve"> HYPERLINK \l "_Toc65060564" </w:instrText>
          </w:r>
          <w:r>
            <w:fldChar w:fldCharType="separate"/>
          </w:r>
          <w:r>
            <w:rPr>
              <w:rStyle w:val="19"/>
              <w:rFonts w:ascii="Times New Roman" w:hAnsi="Times New Roman" w:eastAsia="楷体" w:cstheme="majorBidi"/>
              <w:sz w:val="28"/>
              <w:szCs w:val="28"/>
            </w:rPr>
            <w:t>（四）健全完善规划实施监督机制</w:t>
          </w:r>
          <w:r>
            <w:rPr>
              <w:sz w:val="28"/>
              <w:szCs w:val="28"/>
            </w:rPr>
            <w:tab/>
          </w:r>
          <w:r>
            <w:rPr>
              <w:sz w:val="28"/>
              <w:szCs w:val="28"/>
            </w:rPr>
            <w:fldChar w:fldCharType="begin"/>
          </w:r>
          <w:r>
            <w:rPr>
              <w:sz w:val="28"/>
              <w:szCs w:val="28"/>
            </w:rPr>
            <w:instrText xml:space="preserve"> PAGEREF _Toc65060564 \h </w:instrText>
          </w:r>
          <w:r>
            <w:rPr>
              <w:sz w:val="28"/>
              <w:szCs w:val="28"/>
            </w:rPr>
            <w:fldChar w:fldCharType="separate"/>
          </w:r>
          <w:r>
            <w:rPr>
              <w:sz w:val="28"/>
              <w:szCs w:val="28"/>
            </w:rPr>
            <w:t>80</w:t>
          </w:r>
          <w:r>
            <w:rPr>
              <w:sz w:val="28"/>
              <w:szCs w:val="28"/>
            </w:rPr>
            <w:fldChar w:fldCharType="end"/>
          </w:r>
          <w:r>
            <w:rPr>
              <w:sz w:val="28"/>
              <w:szCs w:val="28"/>
            </w:rPr>
            <w:fldChar w:fldCharType="end"/>
          </w:r>
        </w:p>
        <w:p>
          <w:pPr>
            <w:pStyle w:val="12"/>
            <w:spacing w:line="560" w:lineRule="exact"/>
            <w:rPr>
              <w:rFonts w:ascii="Times New Roman" w:hAnsi="Times New Roman"/>
              <w:sz w:val="28"/>
              <w:szCs w:val="28"/>
            </w:rPr>
          </w:pPr>
          <w:r>
            <w:rPr>
              <w:rFonts w:ascii="Times New Roman" w:hAnsi="Times New Roman"/>
              <w:sz w:val="28"/>
              <w:szCs w:val="28"/>
            </w:rPr>
            <w:fldChar w:fldCharType="end"/>
          </w:r>
        </w:p>
      </w:sdtContent>
    </w:sdt>
    <w:p>
      <w:pPr>
        <w:pStyle w:val="35"/>
        <w:keepNext w:val="0"/>
        <w:keepLines w:val="0"/>
        <w:widowControl w:val="0"/>
        <w:jc w:val="center"/>
        <w:rPr>
          <w:rFonts w:ascii="Times New Roman" w:hAnsi="Times New Roman"/>
          <w:lang w:val="zh-CN"/>
        </w:rPr>
        <w:sectPr>
          <w:footerReference r:id="rId5" w:type="default"/>
          <w:pgSz w:w="11906" w:h="16838"/>
          <w:pgMar w:top="1440" w:right="1800" w:bottom="1440" w:left="1800" w:header="851" w:footer="992" w:gutter="0"/>
          <w:pgNumType w:fmt="upperRoman" w:start="1"/>
          <w:cols w:space="425" w:num="1"/>
          <w:docGrid w:type="lines" w:linePitch="312" w:charSpace="0"/>
        </w:sectPr>
      </w:pPr>
    </w:p>
    <w:p>
      <w:pPr>
        <w:spacing w:line="560" w:lineRule="exact"/>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“十四五”时期是夏邑加快高质量发展、实现由巩固脱贫成果向乡村振兴衔接过渡的转型五年，也是开启全面建设社会主义现代化新征程、谱写新时代中原更加出彩夏邑绚丽篇章的关键五年。</w:t>
      </w:r>
      <w:r>
        <w:rPr>
          <w:rFonts w:hint="eastAsia" w:ascii="Times New Roman" w:hAnsi="Times New Roman" w:eastAsia="仿宋_GB2312" w:cs="仿宋_GB2312"/>
          <w:sz w:val="30"/>
          <w:szCs w:val="30"/>
        </w:rPr>
        <w:t>依据《中共</w:t>
      </w:r>
      <w:r>
        <w:rPr>
          <w:rFonts w:hint="eastAsia" w:ascii="Times New Roman" w:hAnsi="Times New Roman" w:eastAsia="仿宋_GB2312" w:cs="Times New Roman"/>
          <w:sz w:val="30"/>
          <w:szCs w:val="30"/>
        </w:rPr>
        <w:t>夏邑县委关于制定夏邑县国民经济和社会发展第十四个五年规划和二</w:t>
      </w:r>
      <w:r>
        <w:rPr>
          <w:rFonts w:hint="eastAsia" w:ascii="微软雅黑" w:hAnsi="微软雅黑" w:eastAsia="微软雅黑" w:cs="微软雅黑"/>
          <w:sz w:val="30"/>
          <w:szCs w:val="30"/>
        </w:rPr>
        <w:t>〇</w:t>
      </w:r>
      <w:r>
        <w:rPr>
          <w:rFonts w:hint="eastAsia" w:ascii="仿宋_GB2312" w:hAnsi="仿宋_GB2312" w:eastAsia="仿宋_GB2312" w:cs="仿宋_GB2312"/>
          <w:sz w:val="30"/>
          <w:szCs w:val="30"/>
        </w:rPr>
        <w:t>三五年远景目标的建议</w:t>
      </w:r>
      <w:r>
        <w:rPr>
          <w:rFonts w:hint="eastAsia" w:ascii="Times New Roman" w:hAnsi="Times New Roman" w:eastAsia="仿宋_GB2312" w:cs="Times New Roman"/>
          <w:sz w:val="30"/>
          <w:szCs w:val="30"/>
        </w:rPr>
        <w:t>》，特编制本纲要，作为指导全县“十四五”时期经济社会发展、开启全面建设社会主义现代化新征程的行动纲要。</w:t>
      </w:r>
    </w:p>
    <w:p>
      <w:pPr>
        <w:spacing w:before="156" w:beforeLines="50" w:after="156" w:afterLines="50"/>
        <w:ind w:firstLine="640" w:firstLineChars="200"/>
        <w:outlineLvl w:val="0"/>
        <w:rPr>
          <w:rFonts w:ascii="Times New Roman" w:hAnsi="Times New Roman" w:eastAsia="黑体" w:cs="Times New Roman"/>
          <w:sz w:val="32"/>
          <w:szCs w:val="32"/>
        </w:rPr>
      </w:pPr>
      <w:bookmarkStart w:id="0" w:name="_Toc65060496"/>
      <w:bookmarkStart w:id="1" w:name="_Toc59921167"/>
      <w:r>
        <w:rPr>
          <w:rFonts w:hint="eastAsia" w:ascii="Times New Roman" w:hAnsi="Times New Roman" w:eastAsia="黑体" w:cs="Times New Roman"/>
          <w:sz w:val="32"/>
          <w:szCs w:val="32"/>
        </w:rPr>
        <w:t>一、全面建成小康社会，开启全面建设社会主义现代化夏邑新征程</w:t>
      </w:r>
      <w:bookmarkEnd w:id="0"/>
      <w:bookmarkEnd w:id="1"/>
    </w:p>
    <w:p>
      <w:pPr>
        <w:spacing w:line="560" w:lineRule="exact"/>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十四五”时期是我国全面建成小康社会、实现第一个百年奋斗目标之后，乘势而上开启全面建设社会主义现代化国家、向第二个百年奋斗目标进军的第一个五年，是河南省谱写新时代中原更加出彩绚丽篇章的关键五年。夏邑县将深入贯彻习近平新时代中国特色社会主义思想和党的十九大及十九届历次全会精神，秉持高质量发展理念，以更高的站位、更宽的视野谋划未来、主动担当，为现代化建设开好局、起好步。</w:t>
      </w:r>
    </w:p>
    <w:p>
      <w:pPr>
        <w:pStyle w:val="4"/>
        <w:keepNext w:val="0"/>
        <w:keepLines w:val="0"/>
        <w:spacing w:before="120" w:after="120" w:line="560" w:lineRule="exact"/>
        <w:ind w:firstLine="640" w:firstLineChars="200"/>
        <w:rPr>
          <w:rFonts w:ascii="Times New Roman" w:hAnsi="Times New Roman" w:eastAsia="楷体"/>
          <w:b w:val="0"/>
          <w:bCs w:val="0"/>
        </w:rPr>
      </w:pPr>
      <w:bookmarkStart w:id="2" w:name="_Toc65060497"/>
      <w:bookmarkStart w:id="3" w:name="_Toc59921168"/>
      <w:r>
        <w:rPr>
          <w:rFonts w:hint="eastAsia" w:ascii="Times New Roman" w:hAnsi="Times New Roman" w:eastAsia="楷体"/>
          <w:b w:val="0"/>
          <w:bCs w:val="0"/>
        </w:rPr>
        <w:t>（一）决胜全面建成小康社会取得决定性成就</w:t>
      </w:r>
      <w:bookmarkEnd w:id="2"/>
      <w:bookmarkEnd w:id="3"/>
    </w:p>
    <w:p>
      <w:pPr>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十三五”时期，面对艰巨繁重的改革发展稳定任务，县委、县政府团结带领全县人民，以习近平新时代中国特色社会主义思想为指导，深入贯彻习近平总书记视察河南工作的重要讲话和重要指示批示精神，认真贯彻落实党中央、国务院一系列重大战略部署，在省委、省政府，市委、市政府的正确领导下，着力打好“四张牌”，统筹推进县域治理“三起来”，坚持稳中求进工作总基调，坚定不移贯彻新发展理念，坚持以供给侧结构性改革为主线，坚持以“马上办抓落实”工作机制为根本遵循，砥砺前行、开拓进取，奋力夺取新冠肺炎疫情防控和实现经济社会发展目标“双胜利”，圆满完成“十三五”规划各项目标任务，决胜全面建成小康社会取得决定性成就，为“十四五”发展打下了坚实基础。</w:t>
      </w:r>
    </w:p>
    <w:p>
      <w:pPr>
        <w:spacing w:line="560" w:lineRule="exact"/>
        <w:ind w:firstLine="602" w:firstLineChars="200"/>
        <w:rPr>
          <w:rFonts w:hint="eastAsia" w:ascii="Times New Roman" w:hAnsi="Times New Roman" w:eastAsia="仿宋_GB2312"/>
          <w:sz w:val="30"/>
          <w:szCs w:val="30"/>
          <w:highlight w:val="none"/>
        </w:rPr>
      </w:pPr>
      <w:bookmarkStart w:id="4" w:name="_Toc59921169"/>
      <w:bookmarkStart w:id="5" w:name="_Toc65060498"/>
      <w:r>
        <w:rPr>
          <w:rFonts w:hint="eastAsia" w:ascii="Times New Roman" w:hAnsi="Times New Roman" w:eastAsia="楷体_GB2312"/>
          <w:b/>
          <w:bCs/>
          <w:sz w:val="30"/>
          <w:szCs w:val="30"/>
          <w:highlight w:val="none"/>
        </w:rPr>
        <w:t>发展质量跃上新台阶。</w:t>
      </w:r>
      <w:r>
        <w:rPr>
          <w:rFonts w:hint="eastAsia" w:ascii="Times New Roman" w:hAnsi="Times New Roman" w:eastAsia="仿宋_GB2312"/>
          <w:sz w:val="30"/>
          <w:szCs w:val="30"/>
          <w:highlight w:val="none"/>
        </w:rPr>
        <w:t>经济总量不断扩张，生产总值较2015年增长</w:t>
      </w:r>
      <w:r>
        <w:rPr>
          <w:rFonts w:hint="eastAsia" w:ascii="Times New Roman" w:hAnsi="Times New Roman" w:eastAsia="仿宋_GB2312"/>
          <w:sz w:val="30"/>
          <w:szCs w:val="30"/>
          <w:highlight w:val="none"/>
          <w:lang w:val="en-US" w:eastAsia="zh-CN"/>
        </w:rPr>
        <w:t>40.4</w:t>
      </w:r>
      <w:r>
        <w:rPr>
          <w:rFonts w:hint="eastAsia" w:ascii="Times New Roman" w:hAnsi="Times New Roman" w:eastAsia="仿宋_GB2312"/>
          <w:sz w:val="30"/>
          <w:szCs w:val="30"/>
          <w:highlight w:val="none"/>
        </w:rPr>
        <w:t>%，年均增长7.</w:t>
      </w:r>
      <w:r>
        <w:rPr>
          <w:rFonts w:hint="eastAsia" w:ascii="Times New Roman" w:hAnsi="Times New Roman" w:eastAsia="仿宋_GB2312"/>
          <w:sz w:val="30"/>
          <w:szCs w:val="30"/>
          <w:highlight w:val="none"/>
          <w:lang w:val="en-US" w:eastAsia="zh-CN"/>
        </w:rPr>
        <w:t>0</w:t>
      </w:r>
      <w:r>
        <w:rPr>
          <w:rFonts w:hint="eastAsia" w:ascii="Times New Roman" w:hAnsi="Times New Roman" w:eastAsia="仿宋_GB2312"/>
          <w:sz w:val="30"/>
          <w:szCs w:val="30"/>
          <w:highlight w:val="none"/>
        </w:rPr>
        <w:t>%；规模以上工业增加值年均增长7.</w:t>
      </w:r>
      <w:r>
        <w:rPr>
          <w:rFonts w:hint="eastAsia" w:ascii="Times New Roman" w:hAnsi="Times New Roman" w:eastAsia="仿宋_GB2312"/>
          <w:sz w:val="30"/>
          <w:szCs w:val="30"/>
          <w:highlight w:val="none"/>
          <w:lang w:val="en-US" w:eastAsia="zh-CN"/>
        </w:rPr>
        <w:t>5</w:t>
      </w:r>
      <w:r>
        <w:rPr>
          <w:rFonts w:hint="eastAsia" w:ascii="Times New Roman" w:hAnsi="Times New Roman" w:eastAsia="仿宋_GB2312"/>
          <w:sz w:val="30"/>
          <w:szCs w:val="30"/>
          <w:highlight w:val="none"/>
        </w:rPr>
        <w:t>%；一般预算收入年均增长8.5%；固定资产投资年均增长11.9%；社会消费品零售总额年均增长</w:t>
      </w:r>
      <w:r>
        <w:rPr>
          <w:rFonts w:hint="eastAsia" w:ascii="Times New Roman" w:hAnsi="Times New Roman" w:eastAsia="仿宋_GB2312"/>
          <w:sz w:val="30"/>
          <w:szCs w:val="30"/>
          <w:highlight w:val="none"/>
          <w:lang w:val="en-US" w:eastAsia="zh-CN"/>
        </w:rPr>
        <w:t>8.6</w:t>
      </w:r>
      <w:r>
        <w:rPr>
          <w:rFonts w:hint="eastAsia" w:ascii="Times New Roman" w:hAnsi="Times New Roman" w:eastAsia="仿宋_GB2312"/>
          <w:sz w:val="30"/>
          <w:szCs w:val="30"/>
          <w:highlight w:val="none"/>
        </w:rPr>
        <w:t>％；城镇居民人均可支配收入、农民人均纯收入年均分别增长7.</w:t>
      </w:r>
      <w:r>
        <w:rPr>
          <w:rFonts w:hint="eastAsia" w:ascii="Times New Roman" w:hAnsi="Times New Roman" w:eastAsia="仿宋_GB2312"/>
          <w:sz w:val="30"/>
          <w:szCs w:val="30"/>
          <w:highlight w:val="none"/>
          <w:lang w:val="en-US" w:eastAsia="zh-CN"/>
        </w:rPr>
        <w:t>7</w:t>
      </w:r>
      <w:r>
        <w:rPr>
          <w:rFonts w:hint="eastAsia" w:ascii="Times New Roman" w:hAnsi="Times New Roman" w:eastAsia="仿宋_GB2312"/>
          <w:sz w:val="30"/>
          <w:szCs w:val="30"/>
          <w:highlight w:val="none"/>
        </w:rPr>
        <w:t>%、</w:t>
      </w:r>
      <w:r>
        <w:rPr>
          <w:rFonts w:hint="eastAsia" w:ascii="Times New Roman" w:hAnsi="Times New Roman" w:eastAsia="仿宋_GB2312"/>
          <w:sz w:val="30"/>
          <w:szCs w:val="30"/>
          <w:highlight w:val="none"/>
          <w:lang w:val="en-US" w:eastAsia="zh-CN"/>
        </w:rPr>
        <w:t>9.3</w:t>
      </w:r>
      <w:r>
        <w:rPr>
          <w:rFonts w:hint="eastAsia" w:ascii="Times New Roman" w:hAnsi="Times New Roman" w:eastAsia="仿宋_GB2312"/>
          <w:sz w:val="30"/>
          <w:szCs w:val="30"/>
          <w:highlight w:val="none"/>
        </w:rPr>
        <w:t>%；金融机构各项存款余额达到“十二五”末的2.5倍。</w:t>
      </w:r>
    </w:p>
    <w:p>
      <w:pPr>
        <w:spacing w:line="560" w:lineRule="exact"/>
        <w:ind w:firstLine="602" w:firstLineChars="200"/>
        <w:rPr>
          <w:rFonts w:ascii="Times New Roman" w:hAnsi="Times New Roman" w:eastAsia="仿宋_GB2312" w:cs="仿宋_GB2312"/>
          <w:sz w:val="30"/>
          <w:szCs w:val="30"/>
        </w:rPr>
      </w:pPr>
      <w:r>
        <w:rPr>
          <w:rFonts w:hint="eastAsia" w:ascii="Times New Roman" w:hAnsi="Times New Roman" w:eastAsia="楷体_GB2312"/>
          <w:b/>
          <w:bCs/>
          <w:sz w:val="30"/>
          <w:szCs w:val="30"/>
          <w:highlight w:val="none"/>
        </w:rPr>
        <w:t>产业结构实现新升级。</w:t>
      </w:r>
      <w:r>
        <w:rPr>
          <w:rFonts w:hint="eastAsia" w:ascii="Times New Roman" w:hAnsi="Times New Roman" w:eastAsia="仿宋_GB2312"/>
          <w:sz w:val="30"/>
          <w:szCs w:val="30"/>
          <w:highlight w:val="none"/>
        </w:rPr>
        <w:t>三次产业结构由</w:t>
      </w:r>
      <w:r>
        <w:rPr>
          <w:rFonts w:ascii="Times New Roman" w:hAnsi="Times New Roman" w:eastAsia="仿宋_GB2312"/>
          <w:sz w:val="30"/>
          <w:szCs w:val="30"/>
          <w:highlight w:val="none"/>
        </w:rPr>
        <w:t>2015</w:t>
      </w:r>
      <w:r>
        <w:rPr>
          <w:rFonts w:hint="eastAsia" w:ascii="Times New Roman" w:hAnsi="Times New Roman" w:eastAsia="仿宋_GB2312"/>
          <w:sz w:val="30"/>
          <w:szCs w:val="30"/>
          <w:highlight w:val="none"/>
        </w:rPr>
        <w:t>年的</w:t>
      </w:r>
      <w:r>
        <w:rPr>
          <w:rFonts w:hint="eastAsia" w:ascii="Times New Roman" w:hAnsi="Times New Roman" w:eastAsia="仿宋_GB2312"/>
          <w:sz w:val="30"/>
          <w:szCs w:val="30"/>
          <w:highlight w:val="none"/>
          <w:lang w:val="en-US" w:eastAsia="zh-CN"/>
        </w:rPr>
        <w:t>22.6</w:t>
      </w:r>
      <w:r>
        <w:rPr>
          <w:rFonts w:hint="eastAsia" w:ascii="Times New Roman" w:hAnsi="Times New Roman" w:eastAsia="仿宋_GB2312"/>
          <w:sz w:val="30"/>
          <w:szCs w:val="30"/>
          <w:highlight w:val="none"/>
        </w:rPr>
        <w:t>：</w:t>
      </w:r>
      <w:r>
        <w:rPr>
          <w:rFonts w:hint="eastAsia" w:ascii="Times New Roman" w:hAnsi="Times New Roman" w:eastAsia="仿宋_GB2312"/>
          <w:sz w:val="30"/>
          <w:szCs w:val="30"/>
          <w:highlight w:val="none"/>
          <w:lang w:val="en-US" w:eastAsia="zh-CN"/>
        </w:rPr>
        <w:t>40.6</w:t>
      </w:r>
      <w:r>
        <w:rPr>
          <w:rFonts w:hint="eastAsia" w:ascii="Times New Roman" w:hAnsi="Times New Roman" w:eastAsia="仿宋_GB2312"/>
          <w:sz w:val="30"/>
          <w:szCs w:val="30"/>
          <w:highlight w:val="none"/>
        </w:rPr>
        <w:t>：</w:t>
      </w:r>
      <w:r>
        <w:rPr>
          <w:rFonts w:hint="eastAsia" w:ascii="Times New Roman" w:hAnsi="Times New Roman" w:eastAsia="仿宋_GB2312"/>
          <w:sz w:val="30"/>
          <w:szCs w:val="30"/>
          <w:highlight w:val="none"/>
          <w:lang w:val="en-US" w:eastAsia="zh-CN"/>
        </w:rPr>
        <w:t>36.8</w:t>
      </w:r>
      <w:r>
        <w:rPr>
          <w:rFonts w:hint="eastAsia" w:ascii="Times New Roman" w:hAnsi="Times New Roman" w:eastAsia="仿宋_GB2312"/>
          <w:sz w:val="30"/>
          <w:szCs w:val="30"/>
          <w:highlight w:val="none"/>
        </w:rPr>
        <w:t>调整为</w:t>
      </w:r>
      <w:r>
        <w:rPr>
          <w:rFonts w:ascii="Times New Roman" w:hAnsi="Times New Roman" w:eastAsia="仿宋_GB2312"/>
          <w:sz w:val="30"/>
          <w:szCs w:val="30"/>
          <w:highlight w:val="none"/>
        </w:rPr>
        <w:t>2020</w:t>
      </w:r>
      <w:r>
        <w:rPr>
          <w:rFonts w:hint="eastAsia" w:ascii="Times New Roman" w:hAnsi="Times New Roman" w:eastAsia="仿宋_GB2312"/>
          <w:sz w:val="30"/>
          <w:szCs w:val="30"/>
          <w:highlight w:val="none"/>
        </w:rPr>
        <w:t>年的1</w:t>
      </w:r>
      <w:r>
        <w:rPr>
          <w:rFonts w:hint="eastAsia" w:ascii="Times New Roman" w:hAnsi="Times New Roman" w:eastAsia="仿宋_GB2312"/>
          <w:sz w:val="30"/>
          <w:szCs w:val="30"/>
          <w:highlight w:val="none"/>
          <w:lang w:val="en-US" w:eastAsia="zh-CN"/>
        </w:rPr>
        <w:t>9</w:t>
      </w:r>
      <w:r>
        <w:rPr>
          <w:rFonts w:hint="eastAsia" w:ascii="Times New Roman" w:hAnsi="Times New Roman" w:eastAsia="仿宋_GB2312"/>
          <w:sz w:val="30"/>
          <w:szCs w:val="30"/>
          <w:highlight w:val="none"/>
        </w:rPr>
        <w:t>.5：</w:t>
      </w:r>
      <w:r>
        <w:rPr>
          <w:rFonts w:hint="eastAsia" w:ascii="Times New Roman" w:hAnsi="Times New Roman" w:eastAsia="仿宋_GB2312"/>
          <w:sz w:val="30"/>
          <w:szCs w:val="30"/>
          <w:highlight w:val="none"/>
          <w:lang w:val="en-US" w:eastAsia="zh-CN"/>
        </w:rPr>
        <w:t>38</w:t>
      </w:r>
      <w:r>
        <w:rPr>
          <w:rFonts w:hint="eastAsia" w:ascii="Times New Roman" w:hAnsi="Times New Roman" w:eastAsia="仿宋_GB2312"/>
          <w:sz w:val="30"/>
          <w:szCs w:val="30"/>
          <w:highlight w:val="none"/>
        </w:rPr>
        <w:t>.5：</w:t>
      </w:r>
      <w:r>
        <w:rPr>
          <w:rFonts w:hint="eastAsia" w:ascii="Times New Roman" w:hAnsi="Times New Roman" w:eastAsia="仿宋_GB2312"/>
          <w:sz w:val="30"/>
          <w:szCs w:val="30"/>
          <w:highlight w:val="none"/>
          <w:lang w:val="en-US" w:eastAsia="zh-CN"/>
        </w:rPr>
        <w:t>42</w:t>
      </w:r>
      <w:r>
        <w:rPr>
          <w:rFonts w:hint="eastAsia" w:ascii="Times New Roman" w:hAnsi="Times New Roman" w:eastAsia="仿宋_GB2312"/>
          <w:sz w:val="30"/>
          <w:szCs w:val="30"/>
          <w:highlight w:val="none"/>
        </w:rPr>
        <w:t>.0，</w:t>
      </w:r>
      <w:r>
        <w:rPr>
          <w:rFonts w:hint="eastAsia" w:ascii="Times New Roman" w:hAnsi="Times New Roman" w:eastAsia="仿宋_GB2312"/>
          <w:sz w:val="30"/>
          <w:szCs w:val="30"/>
        </w:rPr>
        <w:t>实现了从“二三一”到“三二一”的历史性转变，形成了纺织服装、装备制造和农副产品加工3大主导产业集群。产业集聚区建设全面提速，在全省综合排序中上升至第14名，晋升为</w:t>
      </w:r>
      <w:r>
        <w:rPr>
          <w:rFonts w:hint="eastAsia" w:ascii="Times New Roman" w:hAnsi="Times New Roman" w:eastAsia="仿宋_GB2312"/>
          <w:sz w:val="30"/>
          <w:szCs w:val="30"/>
          <w:lang w:eastAsia="zh-CN"/>
        </w:rPr>
        <w:t>高新技术开发区</w:t>
      </w:r>
      <w:r>
        <w:rPr>
          <w:rFonts w:hint="eastAsia" w:ascii="Times New Roman" w:hAnsi="Times New Roman" w:eastAsia="仿宋_GB2312"/>
          <w:sz w:val="30"/>
          <w:szCs w:val="30"/>
        </w:rPr>
        <w:t>，全县纺纱规模达到</w:t>
      </w:r>
      <w:r>
        <w:rPr>
          <w:rFonts w:ascii="Times New Roman" w:hAnsi="Times New Roman" w:eastAsia="仿宋_GB2312"/>
          <w:sz w:val="30"/>
          <w:szCs w:val="30"/>
        </w:rPr>
        <w:t>280</w:t>
      </w:r>
      <w:r>
        <w:rPr>
          <w:rFonts w:hint="eastAsia" w:ascii="Times New Roman" w:hAnsi="Times New Roman" w:eastAsia="仿宋_GB2312"/>
          <w:sz w:val="30"/>
          <w:szCs w:val="30"/>
        </w:rPr>
        <w:t>万锭，织布能力</w:t>
      </w:r>
      <w:r>
        <w:rPr>
          <w:rFonts w:ascii="Times New Roman" w:hAnsi="Times New Roman" w:eastAsia="仿宋_GB2312"/>
          <w:sz w:val="30"/>
          <w:szCs w:val="30"/>
        </w:rPr>
        <w:t>17</w:t>
      </w:r>
      <w:r>
        <w:rPr>
          <w:rFonts w:hint="eastAsia" w:ascii="Times New Roman" w:hAnsi="Times New Roman" w:eastAsia="仿宋_GB2312"/>
          <w:sz w:val="30"/>
          <w:szCs w:val="30"/>
        </w:rPr>
        <w:t>万吨，服装加工能力</w:t>
      </w:r>
      <w:r>
        <w:rPr>
          <w:rFonts w:ascii="Times New Roman" w:hAnsi="Times New Roman" w:eastAsia="仿宋_GB2312"/>
          <w:sz w:val="30"/>
          <w:szCs w:val="30"/>
        </w:rPr>
        <w:t>1.6</w:t>
      </w:r>
      <w:r>
        <w:rPr>
          <w:rFonts w:hint="eastAsia" w:ascii="Times New Roman" w:hAnsi="Times New Roman" w:eastAsia="仿宋_GB2312"/>
          <w:sz w:val="30"/>
          <w:szCs w:val="30"/>
        </w:rPr>
        <w:t>亿件，成为“全国新兴纺织基地县”“中国棉纺织名城”、“国家高端纺织服装特色产业基地”、“河南省纺织服装质量提升示范区”</w:t>
      </w:r>
      <w:r>
        <w:rPr>
          <w:rFonts w:ascii="Times New Roman" w:hAnsi="Times New Roman" w:eastAsia="仿宋_GB2312"/>
          <w:sz w:val="30"/>
          <w:szCs w:val="30"/>
        </w:rPr>
        <w:t>“</w:t>
      </w:r>
      <w:r>
        <w:rPr>
          <w:rFonts w:hint="eastAsia" w:ascii="Times New Roman" w:hAnsi="Times New Roman" w:eastAsia="仿宋_GB2312"/>
          <w:sz w:val="30"/>
          <w:szCs w:val="30"/>
        </w:rPr>
        <w:t>全市工业经济发展先进县</w:t>
      </w:r>
      <w:r>
        <w:rPr>
          <w:rFonts w:ascii="Times New Roman" w:hAnsi="Times New Roman" w:eastAsia="仿宋_GB2312"/>
          <w:sz w:val="30"/>
          <w:szCs w:val="30"/>
        </w:rPr>
        <w:t>”</w:t>
      </w:r>
      <w:r>
        <w:rPr>
          <w:rFonts w:hint="eastAsia" w:ascii="Times New Roman" w:hAnsi="Times New Roman" w:eastAsia="仿宋_GB2312"/>
          <w:sz w:val="30"/>
          <w:szCs w:val="30"/>
        </w:rPr>
        <w:t>。商务中心区加快建设，荣获“河南省十快服务业‘两区’”称号，晋升为河南省四星级服务业“两区”；全县市场主体达到12.8万户，电商产业园入驻各类电商企业80余家，网络交易额突破40亿元，何营、桑</w:t>
      </w:r>
      <w:r>
        <w:rPr>
          <w:rFonts w:hint="eastAsia" w:ascii="仿宋" w:hAnsi="仿宋" w:eastAsia="仿宋" w:cs="仿宋"/>
          <w:sz w:val="30"/>
          <w:szCs w:val="30"/>
        </w:rPr>
        <w:t>堌</w:t>
      </w:r>
      <w:r>
        <w:rPr>
          <w:rFonts w:hint="eastAsia" w:ascii="仿宋_GB2312" w:hAnsi="仿宋_GB2312" w:eastAsia="仿宋_GB2312" w:cs="仿宋_GB2312"/>
          <w:sz w:val="30"/>
          <w:szCs w:val="30"/>
        </w:rPr>
        <w:t>、会亭等</w:t>
      </w:r>
      <w:r>
        <w:rPr>
          <w:rFonts w:hint="eastAsia" w:ascii="Times New Roman" w:hAnsi="Times New Roman" w:eastAsia="仿宋_GB2312"/>
          <w:sz w:val="30"/>
          <w:szCs w:val="30"/>
        </w:rPr>
        <w:t>8个镇、4个村被授予淘宝乡镇（村）称号，数量居全省第二、全市第一。</w:t>
      </w:r>
      <w:r>
        <w:rPr>
          <w:rFonts w:hint="eastAsia" w:ascii="Times New Roman" w:hAnsi="Times New Roman" w:eastAsia="仿宋_GB2312" w:cs="仿宋_GB2312"/>
          <w:sz w:val="30"/>
          <w:szCs w:val="30"/>
        </w:rPr>
        <w:t>农业质效稳步提升。构建了“小蘑菇撑开致富伞，大西瓜圆了致富梦，打火机照亮致富路，中国结架起致富桥，桂柳鸭唱响致富曲”和“农村电商编织致富网，智慧农业催开致富花”的“</w:t>
      </w:r>
      <w:r>
        <w:rPr>
          <w:rFonts w:ascii="Times New Roman" w:hAnsi="Times New Roman" w:eastAsia="仿宋_GB2312" w:cs="仿宋_GB2312"/>
          <w:sz w:val="30"/>
          <w:szCs w:val="30"/>
        </w:rPr>
        <w:t>5+2”</w:t>
      </w:r>
      <w:r>
        <w:rPr>
          <w:rFonts w:hint="eastAsia" w:ascii="Times New Roman" w:hAnsi="Times New Roman" w:eastAsia="仿宋_GB2312" w:cs="仿宋_GB2312"/>
          <w:sz w:val="30"/>
          <w:szCs w:val="30"/>
        </w:rPr>
        <w:t>产业发展格局。全县有省市级农业产业化龙头企业34家，农民专业合作社达1989个，家庭农场2400个，累计认证地理标志农产品3个、绿色食品4个、无公害农产品211个、省级农业知名品牌5个、全国名特优新农产品7个，“三品一标”总量位居全省前列，获得“全国超级产量大县”、“全国新型职业农民培育工程示范县”、“全国十大乡村社群生态示范县”、“中国西瓜之乡”“中国蛋鸭之乡”、“国家区域性良种繁育基地”等荣誉称号。</w:t>
      </w:r>
    </w:p>
    <w:p>
      <w:pPr>
        <w:spacing w:line="560" w:lineRule="exact"/>
        <w:ind w:firstLine="602" w:firstLineChars="200"/>
        <w:rPr>
          <w:rFonts w:ascii="Times New Roman" w:hAnsi="Times New Roman" w:eastAsia="仿宋_GB2312"/>
          <w:sz w:val="30"/>
          <w:szCs w:val="30"/>
        </w:rPr>
      </w:pPr>
      <w:r>
        <w:rPr>
          <w:rFonts w:hint="eastAsia" w:ascii="楷体_GB2312" w:hAnsi="Times New Roman" w:eastAsia="楷体_GB2312"/>
          <w:b/>
          <w:bCs/>
          <w:sz w:val="30"/>
          <w:szCs w:val="30"/>
        </w:rPr>
        <w:t>三大攻坚战取得新成效。</w:t>
      </w:r>
      <w:r>
        <w:rPr>
          <w:rFonts w:hint="eastAsia" w:ascii="Times New Roman" w:hAnsi="Times New Roman" w:eastAsia="仿宋_GB2312"/>
          <w:sz w:val="30"/>
          <w:szCs w:val="30"/>
        </w:rPr>
        <w:t>脱贫攻坚取得决定性胜利。提前实现脱贫摘帽，143个贫困村全部达标退出，52563户120624名贫困人口全部脱贫，五年累计投资18亿元用于改善贫困村群众生产生活条件，修建贫困村道路1014公里，义务教育、基本医疗、住房安全得到有效保障，安全饮水实现全覆盖。产业扶贫带头人培养模式被评定为“全国产业扶贫十大机制创新典型”；“凡提必扶”经验做法被全省推广；“四步培养法”被《人民网》《新华每日电讯》等媒体报道；2019年12月15日，中央电视台《新闻联播》栏目以《创新扶贫模式 激发内生动力》为题，对夏邑产业扶贫进行了报道。生态环境明显改善，投资建成空气质量自动监测站点25个，PM10、PM2.5等主要污染物浓度明显下降，空气质量优良天数完成省定目标任务，重污染天气天数大幅减少；城乡黑臭水体得到有效治理，4个河流考核断面均达标，中央、省、市环保督察反馈问题全部整改，蓝天碧水净土的生态环境优势日益显现，被评为“中国绿化模范县”。风险防控切实有力。银行不良贷款保持合理区间，金融风险防控有力，政府债务处在可控范围。有效化解问题楼盘，群众合法权益得到切实维护。</w:t>
      </w:r>
    </w:p>
    <w:p>
      <w:pPr>
        <w:spacing w:line="560" w:lineRule="exact"/>
        <w:ind w:firstLine="602" w:firstLineChars="200"/>
        <w:rPr>
          <w:rFonts w:ascii="Times New Roman" w:hAnsi="Times New Roman" w:eastAsia="仿宋_GB2312"/>
          <w:bCs/>
          <w:sz w:val="30"/>
          <w:szCs w:val="30"/>
          <w:highlight w:val="none"/>
        </w:rPr>
      </w:pPr>
      <w:r>
        <w:rPr>
          <w:rFonts w:hint="eastAsia" w:ascii="Times New Roman" w:hAnsi="Times New Roman" w:eastAsia="楷体_GB2312"/>
          <w:b/>
          <w:bCs/>
          <w:sz w:val="30"/>
          <w:szCs w:val="30"/>
        </w:rPr>
        <w:t>城市面貌呈现新气象。</w:t>
      </w:r>
      <w:r>
        <w:rPr>
          <w:rFonts w:hint="eastAsia" w:ascii="Times New Roman" w:hAnsi="Times New Roman" w:eastAsia="仿宋_GB2312"/>
          <w:bCs/>
          <w:sz w:val="30"/>
          <w:szCs w:val="30"/>
        </w:rPr>
        <w:t>抓住“全省新型城镇化试点县”、“全省第一批实施百城建设提质工程县”机遇，加快城市提质扩容，加速城市功能完善，城市基础设施建设和管理工作成效明显。立足城区总体规划，坚持功能配套和结构优化，推进城市配套设施一体化建设和网格化发展，加强老旧小区改造，筹建充电桩、停车场及大型专业市场，加快水、电、气、热、讯管网等基础设施建设，增强城市承载能力，全面提升城市综合功能和品位。全县累计实施百城提质项目216个、总投资216.3亿元，城市建成区面积达到36.8平方公里，转移农业人口6.7万人。打造人居环境示范村186个，投放垃圾桶6万多个，清理清运生活垃圾及杂物35万吨，群众生产生活条件明显改观。城市建成区面积达到</w:t>
      </w:r>
      <w:r>
        <w:rPr>
          <w:rFonts w:ascii="Times New Roman" w:hAnsi="Times New Roman" w:eastAsia="仿宋_GB2312"/>
          <w:bCs/>
          <w:sz w:val="30"/>
          <w:szCs w:val="30"/>
        </w:rPr>
        <w:t>36.8</w:t>
      </w:r>
      <w:r>
        <w:rPr>
          <w:rFonts w:hint="eastAsia" w:ascii="Times New Roman" w:hAnsi="Times New Roman" w:eastAsia="仿宋_GB2312"/>
          <w:bCs/>
          <w:sz w:val="30"/>
          <w:szCs w:val="30"/>
        </w:rPr>
        <w:t>平方公里，转移农业人口</w:t>
      </w:r>
      <w:r>
        <w:rPr>
          <w:rFonts w:ascii="Times New Roman" w:hAnsi="Times New Roman" w:eastAsia="仿宋_GB2312"/>
          <w:bCs/>
          <w:sz w:val="30"/>
          <w:szCs w:val="30"/>
        </w:rPr>
        <w:t>6.7</w:t>
      </w:r>
      <w:r>
        <w:rPr>
          <w:rFonts w:hint="eastAsia" w:ascii="Times New Roman" w:hAnsi="Times New Roman" w:eastAsia="仿宋_GB2312"/>
          <w:bCs/>
          <w:sz w:val="30"/>
          <w:szCs w:val="30"/>
        </w:rPr>
        <w:t>万人，</w:t>
      </w:r>
      <w:r>
        <w:rPr>
          <w:rFonts w:hint="eastAsia" w:ascii="Times New Roman" w:hAnsi="Times New Roman" w:eastAsia="仿宋_GB2312"/>
          <w:bCs/>
          <w:sz w:val="30"/>
          <w:szCs w:val="30"/>
          <w:highlight w:val="none"/>
        </w:rPr>
        <w:t>城镇化率</w:t>
      </w:r>
      <w:r>
        <w:rPr>
          <w:rFonts w:hint="eastAsia" w:ascii="Times New Roman" w:hAnsi="Times New Roman" w:eastAsia="仿宋_GB2312"/>
          <w:bCs/>
          <w:sz w:val="30"/>
          <w:szCs w:val="30"/>
          <w:highlight w:val="none"/>
          <w:lang w:val="en-US" w:eastAsia="zh-CN"/>
        </w:rPr>
        <w:t>预计</w:t>
      </w:r>
      <w:r>
        <w:rPr>
          <w:rFonts w:hint="eastAsia" w:ascii="Times New Roman" w:hAnsi="Times New Roman" w:eastAsia="仿宋_GB2312"/>
          <w:bCs/>
          <w:sz w:val="30"/>
          <w:szCs w:val="30"/>
          <w:highlight w:val="none"/>
        </w:rPr>
        <w:t>达到4</w:t>
      </w:r>
      <w:r>
        <w:rPr>
          <w:rFonts w:hint="eastAsia" w:ascii="Times New Roman" w:hAnsi="Times New Roman" w:eastAsia="仿宋_GB2312"/>
          <w:bCs/>
          <w:sz w:val="30"/>
          <w:szCs w:val="30"/>
          <w:highlight w:val="none"/>
          <w:lang w:val="en-US" w:eastAsia="zh-CN"/>
        </w:rPr>
        <w:t>3.0</w:t>
      </w:r>
      <w:r>
        <w:rPr>
          <w:rFonts w:hint="eastAsia" w:ascii="Times New Roman" w:hAnsi="Times New Roman" w:eastAsia="仿宋_GB2312"/>
          <w:bCs/>
          <w:sz w:val="30"/>
          <w:szCs w:val="30"/>
          <w:highlight w:val="none"/>
        </w:rPr>
        <w:t>%，五年增加7.</w:t>
      </w:r>
      <w:r>
        <w:rPr>
          <w:rFonts w:hint="eastAsia" w:ascii="Times New Roman" w:hAnsi="Times New Roman" w:eastAsia="仿宋_GB2312"/>
          <w:bCs/>
          <w:sz w:val="30"/>
          <w:szCs w:val="30"/>
          <w:highlight w:val="none"/>
          <w:lang w:val="en-US" w:eastAsia="zh-CN"/>
        </w:rPr>
        <w:t>49</w:t>
      </w:r>
      <w:r>
        <w:rPr>
          <w:rFonts w:hint="eastAsia" w:ascii="Times New Roman" w:hAnsi="Times New Roman" w:eastAsia="仿宋_GB2312"/>
          <w:bCs/>
          <w:sz w:val="30"/>
          <w:szCs w:val="30"/>
          <w:highlight w:val="none"/>
        </w:rPr>
        <w:t>个百分点。</w:t>
      </w:r>
    </w:p>
    <w:p>
      <w:pPr>
        <w:spacing w:line="560" w:lineRule="exact"/>
        <w:ind w:firstLine="602" w:firstLineChars="200"/>
        <w:rPr>
          <w:rFonts w:ascii="Times New Roman" w:hAnsi="Times New Roman" w:eastAsia="仿宋_GB2312"/>
          <w:bCs/>
          <w:sz w:val="30"/>
          <w:szCs w:val="30"/>
        </w:rPr>
      </w:pPr>
      <w:r>
        <w:rPr>
          <w:rFonts w:hint="eastAsia" w:ascii="Times New Roman" w:hAnsi="Times New Roman" w:eastAsia="楷体_GB2312"/>
          <w:b/>
          <w:bCs/>
          <w:sz w:val="30"/>
          <w:szCs w:val="30"/>
          <w:highlight w:val="none"/>
        </w:rPr>
        <w:t>发展动能实现新突破。</w:t>
      </w:r>
      <w:r>
        <w:rPr>
          <w:rFonts w:hint="eastAsia" w:ascii="Times New Roman" w:hAnsi="Times New Roman" w:eastAsia="仿宋_GB2312"/>
          <w:bCs/>
          <w:sz w:val="30"/>
          <w:szCs w:val="30"/>
          <w:highlight w:val="none"/>
        </w:rPr>
        <w:t>抢抓产业转移机遇，五年累计新上固定资产投资亿元以上项目89个，利用省外资金404.5亿元，实际利用境外资金1.8亿美元，出口创汇完成2.38亿美元。</w:t>
      </w:r>
      <w:r>
        <w:rPr>
          <w:rFonts w:hint="eastAsia" w:ascii="Times New Roman" w:hAnsi="Times New Roman" w:eastAsia="仿宋_GB2312"/>
          <w:bCs/>
          <w:sz w:val="30"/>
          <w:szCs w:val="30"/>
        </w:rPr>
        <w:t>在产业转型提升、新型城镇化、交通能源、生态环保、社会事业等领域累计引进投资规模10亿元以上项目15个，3-10亿元以上项目26个，1-3亿元以上项目47个，主要涉及。强力推进各项改革，行政审批事项由135项精简到104项，非行政审批项目全部取消，权责清单编制工作全部完成。商事登记制度改革“先照后证”工作模式受到国家工商总局充分肯定。“大众创业、万众创新”机制全面落实。</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楷体_GB2312"/>
          <w:b/>
          <w:bCs/>
          <w:sz w:val="30"/>
          <w:szCs w:val="30"/>
        </w:rPr>
        <w:t>民生福祉得到新改善。</w:t>
      </w:r>
      <w:r>
        <w:rPr>
          <w:rFonts w:hint="eastAsia" w:ascii="Times New Roman" w:hAnsi="Times New Roman" w:eastAsia="仿宋_GB2312"/>
          <w:sz w:val="30"/>
          <w:szCs w:val="30"/>
          <w:highlight w:val="none"/>
        </w:rPr>
        <w:t>城镇居民人均可支配收入从2</w:t>
      </w:r>
      <w:r>
        <w:rPr>
          <w:rFonts w:ascii="Times New Roman" w:hAnsi="Times New Roman" w:eastAsia="仿宋_GB2312"/>
          <w:sz w:val="30"/>
          <w:szCs w:val="30"/>
          <w:highlight w:val="none"/>
        </w:rPr>
        <w:t>015</w:t>
      </w:r>
      <w:r>
        <w:rPr>
          <w:rFonts w:hint="eastAsia" w:ascii="Times New Roman" w:hAnsi="Times New Roman" w:eastAsia="仿宋_GB2312"/>
          <w:sz w:val="30"/>
          <w:szCs w:val="30"/>
          <w:highlight w:val="none"/>
        </w:rPr>
        <w:t>年的</w:t>
      </w:r>
      <w:r>
        <w:rPr>
          <w:rFonts w:hint="eastAsia" w:ascii="Times New Roman" w:hAnsi="Times New Roman" w:eastAsia="仿宋_GB2312"/>
          <w:sz w:val="30"/>
          <w:szCs w:val="30"/>
          <w:highlight w:val="none"/>
          <w:lang w:val="en-US" w:eastAsia="zh-CN"/>
        </w:rPr>
        <w:t>22388</w:t>
      </w:r>
      <w:r>
        <w:rPr>
          <w:rFonts w:hint="eastAsia" w:ascii="Times New Roman" w:hAnsi="Times New Roman" w:eastAsia="仿宋_GB2312"/>
          <w:sz w:val="30"/>
          <w:szCs w:val="30"/>
          <w:highlight w:val="none"/>
        </w:rPr>
        <w:t>元增长至2</w:t>
      </w:r>
      <w:r>
        <w:rPr>
          <w:rFonts w:ascii="Times New Roman" w:hAnsi="Times New Roman" w:eastAsia="仿宋_GB2312"/>
          <w:sz w:val="30"/>
          <w:szCs w:val="30"/>
          <w:highlight w:val="none"/>
        </w:rPr>
        <w:t>020</w:t>
      </w:r>
      <w:r>
        <w:rPr>
          <w:rFonts w:hint="eastAsia" w:ascii="Times New Roman" w:hAnsi="Times New Roman" w:eastAsia="仿宋_GB2312"/>
          <w:sz w:val="30"/>
          <w:szCs w:val="30"/>
          <w:highlight w:val="none"/>
        </w:rPr>
        <w:t>年的</w:t>
      </w:r>
      <w:r>
        <w:rPr>
          <w:rFonts w:ascii="Times New Roman" w:hAnsi="Times New Roman" w:eastAsia="仿宋_GB2312"/>
          <w:sz w:val="30"/>
          <w:szCs w:val="30"/>
          <w:highlight w:val="none"/>
        </w:rPr>
        <w:t>32</w:t>
      </w:r>
      <w:r>
        <w:rPr>
          <w:rFonts w:hint="eastAsia" w:ascii="Times New Roman" w:hAnsi="Times New Roman" w:eastAsia="仿宋_GB2312"/>
          <w:sz w:val="30"/>
          <w:szCs w:val="30"/>
          <w:highlight w:val="none"/>
          <w:lang w:val="en-US" w:eastAsia="zh-CN"/>
        </w:rPr>
        <w:t>487</w:t>
      </w:r>
      <w:r>
        <w:rPr>
          <w:rFonts w:hint="eastAsia" w:ascii="Times New Roman" w:hAnsi="Times New Roman" w:eastAsia="仿宋_GB2312"/>
          <w:sz w:val="30"/>
          <w:szCs w:val="30"/>
          <w:highlight w:val="none"/>
        </w:rPr>
        <w:t>元，年均增长</w:t>
      </w:r>
      <w:r>
        <w:rPr>
          <w:rFonts w:ascii="Times New Roman" w:hAnsi="Times New Roman" w:eastAsia="仿宋_GB2312"/>
          <w:sz w:val="30"/>
          <w:szCs w:val="30"/>
          <w:highlight w:val="none"/>
        </w:rPr>
        <w:t>7.</w:t>
      </w:r>
      <w:r>
        <w:rPr>
          <w:rFonts w:hint="eastAsia" w:ascii="Times New Roman" w:hAnsi="Times New Roman" w:eastAsia="仿宋_GB2312"/>
          <w:sz w:val="30"/>
          <w:szCs w:val="30"/>
          <w:highlight w:val="none"/>
          <w:lang w:val="en-US" w:eastAsia="zh-CN"/>
        </w:rPr>
        <w:t>7</w:t>
      </w:r>
      <w:r>
        <w:rPr>
          <w:rFonts w:ascii="Times New Roman" w:hAnsi="Times New Roman" w:eastAsia="仿宋_GB2312"/>
          <w:sz w:val="30"/>
          <w:szCs w:val="30"/>
          <w:highlight w:val="none"/>
        </w:rPr>
        <w:t>%</w:t>
      </w:r>
      <w:r>
        <w:rPr>
          <w:rFonts w:hint="eastAsia" w:ascii="Times New Roman" w:hAnsi="Times New Roman" w:eastAsia="仿宋_GB2312"/>
          <w:sz w:val="30"/>
          <w:szCs w:val="30"/>
          <w:highlight w:val="none"/>
        </w:rPr>
        <w:t>；农村居民人均可支配收入从2</w:t>
      </w:r>
      <w:r>
        <w:rPr>
          <w:rFonts w:ascii="Times New Roman" w:hAnsi="Times New Roman" w:eastAsia="仿宋_GB2312"/>
          <w:sz w:val="30"/>
          <w:szCs w:val="30"/>
          <w:highlight w:val="none"/>
        </w:rPr>
        <w:t>015</w:t>
      </w:r>
      <w:r>
        <w:rPr>
          <w:rFonts w:hint="eastAsia" w:ascii="Times New Roman" w:hAnsi="Times New Roman" w:eastAsia="仿宋_GB2312"/>
          <w:sz w:val="30"/>
          <w:szCs w:val="30"/>
          <w:highlight w:val="none"/>
        </w:rPr>
        <w:t>年的</w:t>
      </w:r>
      <w:r>
        <w:rPr>
          <w:rFonts w:hint="eastAsia" w:ascii="Times New Roman" w:hAnsi="Times New Roman" w:eastAsia="仿宋_GB2312"/>
          <w:sz w:val="30"/>
          <w:szCs w:val="30"/>
          <w:highlight w:val="none"/>
          <w:lang w:val="en-US" w:eastAsia="zh-CN"/>
        </w:rPr>
        <w:t>8698</w:t>
      </w:r>
      <w:r>
        <w:rPr>
          <w:rFonts w:hint="eastAsia" w:ascii="Times New Roman" w:hAnsi="Times New Roman" w:eastAsia="仿宋_GB2312"/>
          <w:sz w:val="30"/>
          <w:szCs w:val="30"/>
          <w:highlight w:val="none"/>
        </w:rPr>
        <w:t>元增长至2</w:t>
      </w:r>
      <w:r>
        <w:rPr>
          <w:rFonts w:ascii="Times New Roman" w:hAnsi="Times New Roman" w:eastAsia="仿宋_GB2312"/>
          <w:sz w:val="30"/>
          <w:szCs w:val="30"/>
          <w:highlight w:val="none"/>
        </w:rPr>
        <w:t>020</w:t>
      </w:r>
      <w:r>
        <w:rPr>
          <w:rFonts w:hint="eastAsia" w:ascii="Times New Roman" w:hAnsi="Times New Roman" w:eastAsia="仿宋_GB2312"/>
          <w:sz w:val="30"/>
          <w:szCs w:val="30"/>
          <w:highlight w:val="none"/>
        </w:rPr>
        <w:t>年的</w:t>
      </w:r>
      <w:r>
        <w:rPr>
          <w:rFonts w:ascii="Times New Roman" w:hAnsi="Times New Roman" w:eastAsia="仿宋_GB2312"/>
          <w:sz w:val="30"/>
          <w:szCs w:val="30"/>
          <w:highlight w:val="none"/>
        </w:rPr>
        <w:t>13</w:t>
      </w:r>
      <w:r>
        <w:rPr>
          <w:rFonts w:hint="eastAsia" w:ascii="Times New Roman" w:hAnsi="Times New Roman" w:eastAsia="仿宋_GB2312"/>
          <w:sz w:val="30"/>
          <w:szCs w:val="30"/>
          <w:highlight w:val="none"/>
          <w:lang w:val="en-US" w:eastAsia="zh-CN"/>
        </w:rPr>
        <w:t>589</w:t>
      </w:r>
      <w:r>
        <w:rPr>
          <w:rFonts w:hint="eastAsia" w:ascii="Times New Roman" w:hAnsi="Times New Roman" w:eastAsia="仿宋_GB2312"/>
          <w:sz w:val="30"/>
          <w:szCs w:val="30"/>
          <w:highlight w:val="none"/>
        </w:rPr>
        <w:t>元，年均增长</w:t>
      </w:r>
      <w:r>
        <w:rPr>
          <w:rFonts w:hint="eastAsia" w:ascii="Times New Roman" w:hAnsi="Times New Roman" w:eastAsia="仿宋_GB2312"/>
          <w:sz w:val="30"/>
          <w:szCs w:val="30"/>
          <w:highlight w:val="none"/>
          <w:lang w:val="en-US" w:eastAsia="zh-CN"/>
        </w:rPr>
        <w:t>9.3</w:t>
      </w:r>
      <w:r>
        <w:rPr>
          <w:rFonts w:ascii="Times New Roman" w:hAnsi="Times New Roman" w:eastAsia="仿宋_GB2312"/>
          <w:sz w:val="30"/>
          <w:szCs w:val="30"/>
          <w:highlight w:val="none"/>
        </w:rPr>
        <w:t>%</w:t>
      </w:r>
      <w:r>
        <w:rPr>
          <w:rFonts w:hint="eastAsia" w:ascii="Times New Roman" w:hAnsi="Times New Roman" w:eastAsia="仿宋_GB2312"/>
          <w:sz w:val="30"/>
          <w:szCs w:val="30"/>
          <w:highlight w:val="none"/>
        </w:rPr>
        <w:t>。城乡居民收入比缩小至</w:t>
      </w:r>
      <w:r>
        <w:rPr>
          <w:rFonts w:ascii="Times New Roman" w:hAnsi="Times New Roman" w:eastAsia="仿宋_GB2312"/>
          <w:sz w:val="30"/>
          <w:szCs w:val="30"/>
          <w:highlight w:val="none"/>
        </w:rPr>
        <w:t>2</w:t>
      </w:r>
      <w:r>
        <w:rPr>
          <w:rFonts w:hint="eastAsia" w:ascii="Times New Roman" w:hAnsi="Times New Roman" w:eastAsia="仿宋_GB2312"/>
          <w:sz w:val="30"/>
          <w:szCs w:val="30"/>
          <w:highlight w:val="none"/>
          <w:lang w:val="en-US" w:eastAsia="zh-CN"/>
        </w:rPr>
        <w:t>.39</w:t>
      </w:r>
      <w:r>
        <w:rPr>
          <w:rFonts w:hint="eastAsia" w:ascii="Times New Roman" w:hAnsi="Times New Roman" w:eastAsia="仿宋_GB2312"/>
          <w:sz w:val="30"/>
          <w:szCs w:val="30"/>
          <w:highlight w:val="none"/>
        </w:rPr>
        <w:t>。</w:t>
      </w:r>
      <w:r>
        <w:rPr>
          <w:rFonts w:hint="eastAsia" w:ascii="Times New Roman" w:hAnsi="Times New Roman" w:eastAsia="仿宋_GB2312"/>
          <w:sz w:val="30"/>
          <w:szCs w:val="30"/>
        </w:rPr>
        <w:t>全面落实就业再就业优惠政策，五年城镇新增就业人员</w:t>
      </w:r>
      <w:r>
        <w:rPr>
          <w:rFonts w:ascii="Times New Roman" w:hAnsi="Times New Roman" w:eastAsia="仿宋_GB2312"/>
          <w:sz w:val="30"/>
          <w:szCs w:val="30"/>
        </w:rPr>
        <w:t>19800</w:t>
      </w:r>
      <w:r>
        <w:rPr>
          <w:rFonts w:hint="eastAsia" w:ascii="Times New Roman" w:hAnsi="Times New Roman" w:eastAsia="仿宋_GB2312"/>
          <w:sz w:val="30"/>
          <w:szCs w:val="30"/>
        </w:rPr>
        <w:t>人，城镇登记失业率控制在</w:t>
      </w:r>
      <w:r>
        <w:rPr>
          <w:rFonts w:ascii="Times New Roman" w:hAnsi="Times New Roman" w:eastAsia="仿宋_GB2312"/>
          <w:sz w:val="30"/>
          <w:szCs w:val="30"/>
        </w:rPr>
        <w:t>4.5%</w:t>
      </w:r>
      <w:r>
        <w:rPr>
          <w:rFonts w:hint="eastAsia" w:ascii="Times New Roman" w:hAnsi="Times New Roman" w:eastAsia="仿宋_GB2312"/>
          <w:sz w:val="30"/>
          <w:szCs w:val="30"/>
        </w:rPr>
        <w:t>以内，被评为全国农民工返乡创业试点县、全国新型职业农民培育工程示范县、河南省返乡农民工创业示范县。教育教学质量逐步提高，新建、改扩建农村中小学校、幼儿园602所，五年累计完成投资5.6亿元，城区学校大班额现象基本消除，“全面改薄”任务超额完成，被评为“全国教育质量监测优秀组织单位”</w:t>
      </w:r>
      <w:r>
        <w:rPr>
          <w:rFonts w:hint="eastAsia"/>
        </w:rPr>
        <w:t>、</w:t>
      </w:r>
      <w:r>
        <w:rPr>
          <w:rFonts w:hint="eastAsia" w:ascii="Times New Roman" w:hAnsi="Times New Roman" w:eastAsia="仿宋_GB2312"/>
          <w:sz w:val="30"/>
          <w:szCs w:val="30"/>
        </w:rPr>
        <w:t>“全国责任督学挂牌督导创新县”、“全国群众体育工作先进县”、“国家义务教育质量监测样本县”。县人民医院分院、中医院、妇幼保健院和中心医院新址等项目开工建设，新建乡镇卫生院9个、改扩建乡镇卫生院15个。全县医疗机构开放床位3529张，较“十二五”末增加385张；每千人拥有床位4张，每千人执业医师达1.4人。二孩政策、基本生育免费服务全面落实。城乡居民医疗保险、养老保险基本实现全覆盖，保障标准持续提高。公共文化服务体系不断完善，《掌握夏邑》稳居全国百强，广播电视台连年荣获全省“创新创优十佳”称号；隋唐大运河遗址被列入世界文化遗产名录，公共文化设施平均覆盖率达到</w:t>
      </w:r>
      <w:r>
        <w:rPr>
          <w:rFonts w:ascii="Times New Roman" w:hAnsi="Times New Roman" w:eastAsia="仿宋_GB2312"/>
          <w:sz w:val="30"/>
          <w:szCs w:val="30"/>
        </w:rPr>
        <w:t>98%</w:t>
      </w:r>
      <w:r>
        <w:rPr>
          <w:rFonts w:hint="eastAsia" w:ascii="Times New Roman" w:hAnsi="Times New Roman" w:eastAsia="仿宋_GB2312"/>
          <w:sz w:val="30"/>
          <w:szCs w:val="30"/>
        </w:rPr>
        <w:t>。</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楷体_GB2312"/>
          <w:b/>
          <w:bCs/>
          <w:sz w:val="30"/>
          <w:szCs w:val="30"/>
        </w:rPr>
        <w:t>治理水平得到新提升。</w:t>
      </w:r>
      <w:r>
        <w:rPr>
          <w:rFonts w:hint="eastAsia" w:ascii="Times New Roman" w:hAnsi="Times New Roman" w:eastAsia="仿宋_GB2312"/>
          <w:sz w:val="30"/>
          <w:szCs w:val="30"/>
        </w:rPr>
        <w:t>持续深化“平安夏邑”建设，深入推进扫黑除恶专项斗争，群众满意度达到9</w:t>
      </w:r>
      <w:r>
        <w:rPr>
          <w:rFonts w:ascii="Times New Roman" w:hAnsi="Times New Roman" w:eastAsia="仿宋_GB2312"/>
          <w:sz w:val="30"/>
          <w:szCs w:val="30"/>
        </w:rPr>
        <w:t>7.69</w:t>
      </w:r>
      <w:r>
        <w:rPr>
          <w:rFonts w:hint="eastAsia" w:ascii="Times New Roman" w:hAnsi="Times New Roman" w:eastAsia="仿宋_GB2312"/>
          <w:sz w:val="30"/>
          <w:szCs w:val="30"/>
        </w:rPr>
        <w:t>%，位居全省第1</w:t>
      </w:r>
      <w:r>
        <w:rPr>
          <w:rFonts w:ascii="Times New Roman" w:hAnsi="Times New Roman" w:eastAsia="仿宋_GB2312"/>
          <w:sz w:val="30"/>
          <w:szCs w:val="30"/>
        </w:rPr>
        <w:t>4</w:t>
      </w:r>
      <w:r>
        <w:rPr>
          <w:rFonts w:hint="eastAsia" w:ascii="Times New Roman" w:hAnsi="Times New Roman" w:eastAsia="仿宋_GB2312"/>
          <w:sz w:val="30"/>
          <w:szCs w:val="30"/>
        </w:rPr>
        <w:t>位，相比专项行动前上升2</w:t>
      </w:r>
      <w:r>
        <w:rPr>
          <w:rFonts w:ascii="Times New Roman" w:hAnsi="Times New Roman" w:eastAsia="仿宋_GB2312"/>
          <w:sz w:val="30"/>
          <w:szCs w:val="30"/>
        </w:rPr>
        <w:t>6</w:t>
      </w:r>
      <w:r>
        <w:rPr>
          <w:rFonts w:hint="eastAsia" w:ascii="Times New Roman" w:hAnsi="Times New Roman" w:eastAsia="仿宋_GB2312"/>
          <w:sz w:val="30"/>
          <w:szCs w:val="30"/>
        </w:rPr>
        <w:t>位；落实“三·五”基层工作日制度，全面落实维护社会稳定责任制，深入开展矛盾纠纷排查调处活动，维护稳定工作经验被中央稳定办转发全国推广。自觉接受人大法律监督和政协民主监督，拓宽了与人民群众沟通渠道，人大代表建议、政协委员提案按时办结率、满意率均达到</w:t>
      </w:r>
      <w:r>
        <w:rPr>
          <w:rFonts w:ascii="Times New Roman" w:hAnsi="Times New Roman" w:eastAsia="仿宋_GB2312"/>
          <w:sz w:val="30"/>
          <w:szCs w:val="30"/>
        </w:rPr>
        <w:t>100%</w:t>
      </w:r>
      <w:r>
        <w:rPr>
          <w:rFonts w:hint="eastAsia" w:ascii="Times New Roman" w:hAnsi="Times New Roman" w:eastAsia="仿宋_GB2312"/>
          <w:sz w:val="30"/>
          <w:szCs w:val="30"/>
        </w:rPr>
        <w:t>。严守食品药品安全防线，严格落实安全生产责任，强化交通、消防、校车等安全管理，群众生命财产安全得到切实保障，全县安全形势总体平稳。此外，国防教育、人防、人事、编制、统计、物价、质监、保密工作全面加强，广播电影电视工作取得新成就，外宣工作成绩优异；党史、档案、民族、宗教、气象、侨务、地方志工作取得新进展；工会、工商联、妇联、共青团、科协、残联等群团组织，围绕中心、服务大局，为全县经济社会发展做出了新贡献。</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楷体_GB2312"/>
          <w:b/>
          <w:bCs/>
          <w:sz w:val="30"/>
          <w:szCs w:val="30"/>
        </w:rPr>
        <w:t>管党治党取得新成果。</w:t>
      </w:r>
      <w:r>
        <w:rPr>
          <w:rFonts w:hint="eastAsia" w:ascii="Times New Roman" w:hAnsi="Times New Roman" w:eastAsia="仿宋_GB2312"/>
          <w:sz w:val="30"/>
          <w:szCs w:val="30"/>
        </w:rPr>
        <w:t>党内学习教育深入开展，学习贯彻习近平新时代中国特色社会主义思想取得新进步，中央八项规定精神贯彻落实有力，反腐败斗争压倒性胜利巩固拓展，各级党组织的政治领导力、思想引领力、群众组织力、社会号召力显著提升。特别是面对突如其来的新冠肺炎疫情，我们认真贯彻落实习近平总书记重要指示精神和省、市决策部署，把外防输入与内防反弹、常态化疫情防控与补齐公共卫生短板有机结合，坚持以高度的政治责任感筑牢“夏邑防线”；统筹推进疫情防控和经济社会发展，扎实做好“六稳”工作，全面落实“六保”任务，及时高效推动复工复产复学复课和恢复正常经济社会秩序，实现了“无集聚扩散、无感染病亡”的既定底线和工作目标，取得了“两手硬、两战赢”阶段性胜利。</w:t>
      </w:r>
    </w:p>
    <w:p>
      <w:pPr>
        <w:spacing w:line="560" w:lineRule="exact"/>
        <w:ind w:firstLine="600" w:firstLineChars="200"/>
        <w:rPr>
          <w:rFonts w:ascii="仿宋_GB2312" w:hAnsi="Times New Roman" w:eastAsia="仿宋_GB2312"/>
          <w:sz w:val="30"/>
          <w:szCs w:val="30"/>
        </w:rPr>
      </w:pPr>
      <w:r>
        <w:rPr>
          <w:rFonts w:hint="eastAsia" w:ascii="Times New Roman" w:hAnsi="Times New Roman" w:eastAsia="仿宋_GB2312"/>
          <w:sz w:val="30"/>
          <w:szCs w:val="30"/>
        </w:rPr>
        <w:t>但是，对标高质量发展要求，也应看到我县在经济社会发展中还存在不少问题和短板，</w:t>
      </w:r>
      <w:r>
        <w:rPr>
          <w:rFonts w:hint="eastAsia" w:ascii="仿宋_GB2312" w:hAnsi="Times New Roman" w:eastAsia="仿宋_GB2312"/>
          <w:sz w:val="30"/>
          <w:szCs w:val="30"/>
        </w:rPr>
        <w:t>一是经济发展质量不高，农业不优、工业不强、服务业滞后、创新能力偏低、农村集体经济较为薄弱等问题突出，总体上处于低水平的“三二一”发展阶段。二是基础设施短板显著，尤其是城乡交通联络不畅、对外交通不快、非贫困村基础设施较为薄弱等问题突出。三是城乡发展不均衡，城乡居民收入差距过大，农村教育、医疗、文化等公共服务水平较低，人居环境亟待改善。</w:t>
      </w:r>
    </w:p>
    <w:p>
      <w:pPr>
        <w:spacing w:line="560" w:lineRule="exact"/>
        <w:ind w:firstLine="560" w:firstLineChars="200"/>
        <w:rPr>
          <w:rFonts w:ascii="Times New Roman" w:hAnsi="Times New Roman" w:eastAsia="黑体"/>
          <w:sz w:val="28"/>
          <w:szCs w:val="28"/>
        </w:rPr>
      </w:pPr>
      <w:r>
        <w:rPr>
          <w:rFonts w:hint="eastAsia" w:ascii="Times New Roman" w:hAnsi="Times New Roman" w:eastAsia="黑体"/>
          <w:sz w:val="28"/>
          <w:szCs w:val="28"/>
        </w:rPr>
        <w:t>表</w:t>
      </w:r>
      <w:r>
        <w:rPr>
          <w:rFonts w:ascii="Times New Roman" w:hAnsi="Times New Roman" w:eastAsia="黑体"/>
          <w:sz w:val="28"/>
          <w:szCs w:val="28"/>
        </w:rPr>
        <w:t xml:space="preserve">1-1         </w:t>
      </w:r>
      <w:r>
        <w:rPr>
          <w:rFonts w:hint="eastAsia" w:ascii="Times New Roman" w:hAnsi="Times New Roman" w:eastAsia="黑体"/>
          <w:sz w:val="28"/>
          <w:szCs w:val="28"/>
        </w:rPr>
        <w:t>夏邑县“十三五”指标完成情况</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96"/>
        <w:gridCol w:w="492"/>
        <w:gridCol w:w="1280"/>
        <w:gridCol w:w="1580"/>
        <w:gridCol w:w="850"/>
        <w:gridCol w:w="993"/>
        <w:gridCol w:w="850"/>
        <w:gridCol w:w="709"/>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restart"/>
            <w:shd w:val="clear" w:color="auto" w:fill="auto"/>
            <w:noWrap/>
            <w:vAlign w:val="center"/>
          </w:tcPr>
          <w:p>
            <w:pPr>
              <w:jc w:val="center"/>
              <w:rPr>
                <w:rFonts w:ascii="Times New Roman" w:hAnsi="Times New Roman" w:eastAsia="仿宋_GB2312"/>
                <w:b/>
                <w:bCs/>
                <w:color w:val="000000"/>
                <w:kern w:val="0"/>
              </w:rPr>
            </w:pPr>
            <w:r>
              <w:rPr>
                <w:rFonts w:hint="eastAsia" w:ascii="Times New Roman" w:hAnsi="Times New Roman" w:eastAsia="仿宋_GB2312"/>
                <w:b/>
                <w:bCs/>
                <w:color w:val="000000"/>
                <w:kern w:val="0"/>
              </w:rPr>
              <w:t>分类</w:t>
            </w:r>
          </w:p>
        </w:tc>
        <w:tc>
          <w:tcPr>
            <w:tcW w:w="492" w:type="dxa"/>
            <w:vMerge w:val="restart"/>
            <w:shd w:val="clear" w:color="auto" w:fill="auto"/>
            <w:noWrap/>
            <w:vAlign w:val="center"/>
          </w:tcPr>
          <w:p>
            <w:pPr>
              <w:jc w:val="center"/>
              <w:rPr>
                <w:rFonts w:ascii="Times New Roman" w:hAnsi="Times New Roman" w:eastAsia="仿宋_GB2312"/>
                <w:b/>
                <w:bCs/>
                <w:color w:val="000000"/>
                <w:kern w:val="0"/>
              </w:rPr>
            </w:pPr>
            <w:r>
              <w:rPr>
                <w:rFonts w:hint="eastAsia" w:ascii="Times New Roman" w:hAnsi="Times New Roman" w:eastAsia="仿宋_GB2312"/>
                <w:b/>
                <w:bCs/>
                <w:color w:val="000000"/>
                <w:kern w:val="0"/>
              </w:rPr>
              <w:t>序号</w:t>
            </w:r>
          </w:p>
        </w:tc>
        <w:tc>
          <w:tcPr>
            <w:tcW w:w="2860" w:type="dxa"/>
            <w:gridSpan w:val="2"/>
            <w:vMerge w:val="restart"/>
            <w:shd w:val="clear" w:color="auto" w:fill="auto"/>
            <w:noWrap/>
            <w:vAlign w:val="center"/>
          </w:tcPr>
          <w:p>
            <w:pPr>
              <w:jc w:val="center"/>
              <w:rPr>
                <w:rFonts w:ascii="Times New Roman" w:hAnsi="Times New Roman" w:eastAsia="仿宋_GB2312"/>
                <w:b/>
                <w:bCs/>
                <w:color w:val="000000"/>
                <w:kern w:val="0"/>
              </w:rPr>
            </w:pPr>
            <w:r>
              <w:rPr>
                <w:rFonts w:hint="eastAsia" w:ascii="Times New Roman" w:hAnsi="Times New Roman" w:eastAsia="仿宋_GB2312"/>
                <w:b/>
                <w:bCs/>
                <w:color w:val="000000"/>
                <w:kern w:val="0"/>
              </w:rPr>
              <w:t>指标名称</w:t>
            </w:r>
          </w:p>
        </w:tc>
        <w:tc>
          <w:tcPr>
            <w:tcW w:w="850" w:type="dxa"/>
            <w:vMerge w:val="restart"/>
            <w:shd w:val="clear" w:color="auto" w:fill="auto"/>
            <w:noWrap/>
            <w:vAlign w:val="center"/>
          </w:tcPr>
          <w:p>
            <w:pPr>
              <w:jc w:val="center"/>
              <w:rPr>
                <w:rFonts w:ascii="Times New Roman" w:hAnsi="Times New Roman" w:eastAsia="仿宋_GB2312"/>
                <w:b/>
                <w:bCs/>
                <w:color w:val="000000"/>
                <w:kern w:val="0"/>
              </w:rPr>
            </w:pPr>
            <w:r>
              <w:rPr>
                <w:rFonts w:hint="eastAsia" w:ascii="Times New Roman" w:hAnsi="Times New Roman" w:eastAsia="仿宋_GB2312"/>
                <w:b/>
                <w:bCs/>
                <w:color w:val="000000"/>
                <w:kern w:val="0"/>
              </w:rPr>
              <w:t>属性</w:t>
            </w:r>
          </w:p>
        </w:tc>
        <w:tc>
          <w:tcPr>
            <w:tcW w:w="1843" w:type="dxa"/>
            <w:gridSpan w:val="2"/>
            <w:shd w:val="clear" w:color="auto" w:fill="auto"/>
            <w:noWrap/>
            <w:vAlign w:val="center"/>
          </w:tcPr>
          <w:p>
            <w:pPr>
              <w:jc w:val="center"/>
              <w:rPr>
                <w:rFonts w:ascii="Times New Roman" w:hAnsi="Times New Roman" w:eastAsia="仿宋_GB2312"/>
                <w:b/>
                <w:bCs/>
                <w:color w:val="000000"/>
                <w:kern w:val="0"/>
              </w:rPr>
            </w:pPr>
            <w:r>
              <w:rPr>
                <w:rFonts w:hint="eastAsia" w:ascii="Times New Roman" w:hAnsi="Times New Roman" w:eastAsia="仿宋_GB2312"/>
                <w:b/>
                <w:bCs/>
                <w:color w:val="000000"/>
                <w:kern w:val="0"/>
              </w:rPr>
              <w:t>十三五目标</w:t>
            </w:r>
          </w:p>
        </w:tc>
        <w:tc>
          <w:tcPr>
            <w:tcW w:w="1355" w:type="dxa"/>
            <w:gridSpan w:val="2"/>
            <w:shd w:val="clear" w:color="auto" w:fill="auto"/>
            <w:noWrap/>
            <w:vAlign w:val="center"/>
          </w:tcPr>
          <w:p>
            <w:pPr>
              <w:jc w:val="center"/>
              <w:rPr>
                <w:rFonts w:ascii="Times New Roman" w:hAnsi="Times New Roman" w:eastAsia="仿宋_GB2312"/>
                <w:b/>
                <w:bCs/>
                <w:color w:val="000000"/>
                <w:kern w:val="0"/>
              </w:rPr>
            </w:pPr>
            <w:r>
              <w:rPr>
                <w:rFonts w:hint="eastAsia" w:ascii="Times New Roman" w:hAnsi="Times New Roman" w:eastAsia="仿宋_GB2312"/>
                <w:b/>
                <w:bCs/>
                <w:color w:val="000000"/>
                <w:kern w:val="0"/>
              </w:rPr>
              <w:t>十三五实绩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center"/>
              <w:rPr>
                <w:rFonts w:ascii="Times New Roman" w:hAnsi="Times New Roman" w:eastAsia="仿宋_GB2312"/>
                <w:b/>
                <w:bCs/>
                <w:color w:val="000000"/>
                <w:kern w:val="0"/>
              </w:rPr>
            </w:pPr>
          </w:p>
        </w:tc>
        <w:tc>
          <w:tcPr>
            <w:tcW w:w="492" w:type="dxa"/>
            <w:vMerge w:val="continue"/>
            <w:shd w:val="clear" w:color="auto" w:fill="auto"/>
            <w:vAlign w:val="center"/>
          </w:tcPr>
          <w:p>
            <w:pPr>
              <w:jc w:val="center"/>
              <w:rPr>
                <w:rFonts w:ascii="Times New Roman" w:hAnsi="Times New Roman" w:eastAsia="仿宋_GB2312"/>
                <w:b/>
                <w:bCs/>
                <w:color w:val="000000"/>
                <w:kern w:val="0"/>
              </w:rPr>
            </w:pPr>
          </w:p>
        </w:tc>
        <w:tc>
          <w:tcPr>
            <w:tcW w:w="2860" w:type="dxa"/>
            <w:gridSpan w:val="2"/>
            <w:vMerge w:val="continue"/>
            <w:shd w:val="clear" w:color="auto" w:fill="auto"/>
            <w:vAlign w:val="center"/>
          </w:tcPr>
          <w:p>
            <w:pPr>
              <w:jc w:val="center"/>
              <w:rPr>
                <w:rFonts w:ascii="Times New Roman" w:hAnsi="Times New Roman" w:eastAsia="仿宋_GB2312"/>
                <w:b/>
                <w:bCs/>
                <w:color w:val="000000"/>
                <w:kern w:val="0"/>
              </w:rPr>
            </w:pPr>
          </w:p>
        </w:tc>
        <w:tc>
          <w:tcPr>
            <w:tcW w:w="850" w:type="dxa"/>
            <w:vMerge w:val="continue"/>
            <w:shd w:val="clear" w:color="auto" w:fill="auto"/>
            <w:vAlign w:val="center"/>
          </w:tcPr>
          <w:p>
            <w:pPr>
              <w:jc w:val="center"/>
              <w:rPr>
                <w:rFonts w:ascii="Times New Roman" w:hAnsi="Times New Roman" w:eastAsia="仿宋_GB2312"/>
                <w:b/>
                <w:bCs/>
                <w:color w:val="000000"/>
                <w:kern w:val="0"/>
              </w:rPr>
            </w:pPr>
          </w:p>
        </w:tc>
        <w:tc>
          <w:tcPr>
            <w:tcW w:w="993" w:type="dxa"/>
            <w:shd w:val="clear" w:color="auto" w:fill="auto"/>
            <w:vAlign w:val="center"/>
          </w:tcPr>
          <w:p>
            <w:pPr>
              <w:jc w:val="center"/>
              <w:rPr>
                <w:rFonts w:ascii="Times New Roman" w:hAnsi="Times New Roman" w:eastAsia="仿宋_GB2312"/>
                <w:b/>
                <w:bCs/>
                <w:color w:val="000000"/>
                <w:kern w:val="0"/>
              </w:rPr>
            </w:pPr>
            <w:r>
              <w:rPr>
                <w:rFonts w:ascii="Times New Roman" w:hAnsi="Times New Roman" w:eastAsia="仿宋_GB2312"/>
                <w:b/>
                <w:bCs/>
                <w:color w:val="000000"/>
                <w:kern w:val="0"/>
              </w:rPr>
              <w:t>2020</w:t>
            </w:r>
            <w:r>
              <w:rPr>
                <w:rFonts w:hint="eastAsia" w:ascii="Times New Roman" w:hAnsi="Times New Roman" w:eastAsia="仿宋_GB2312"/>
                <w:b/>
                <w:bCs/>
                <w:color w:val="000000"/>
                <w:kern w:val="0"/>
              </w:rPr>
              <w:t>年</w:t>
            </w:r>
          </w:p>
        </w:tc>
        <w:tc>
          <w:tcPr>
            <w:tcW w:w="850" w:type="dxa"/>
            <w:shd w:val="clear" w:color="auto" w:fill="auto"/>
            <w:vAlign w:val="center"/>
          </w:tcPr>
          <w:p>
            <w:pPr>
              <w:jc w:val="center"/>
              <w:rPr>
                <w:rFonts w:ascii="Times New Roman" w:hAnsi="Times New Roman" w:eastAsia="仿宋_GB2312"/>
                <w:b/>
                <w:bCs/>
                <w:color w:val="000000"/>
                <w:kern w:val="0"/>
              </w:rPr>
            </w:pPr>
            <w:r>
              <w:rPr>
                <w:rFonts w:hint="eastAsia" w:ascii="Times New Roman" w:hAnsi="Times New Roman" w:eastAsia="仿宋_GB2312"/>
                <w:b/>
                <w:bCs/>
                <w:color w:val="000000"/>
                <w:kern w:val="0"/>
              </w:rPr>
              <w:t>年均</w:t>
            </w:r>
          </w:p>
          <w:p>
            <w:pPr>
              <w:jc w:val="center"/>
              <w:rPr>
                <w:rFonts w:ascii="Times New Roman" w:hAnsi="Times New Roman" w:eastAsia="仿宋_GB2312"/>
                <w:b/>
                <w:bCs/>
                <w:color w:val="000000"/>
                <w:kern w:val="0"/>
              </w:rPr>
            </w:pPr>
            <w:r>
              <w:rPr>
                <w:rFonts w:hint="eastAsia" w:ascii="Times New Roman" w:hAnsi="Times New Roman" w:eastAsia="仿宋_GB2312"/>
                <w:b/>
                <w:bCs/>
                <w:color w:val="000000"/>
                <w:kern w:val="0"/>
              </w:rPr>
              <w:t>增长</w:t>
            </w:r>
          </w:p>
        </w:tc>
        <w:tc>
          <w:tcPr>
            <w:tcW w:w="709" w:type="dxa"/>
            <w:shd w:val="clear" w:color="auto" w:fill="auto"/>
            <w:noWrap/>
            <w:vAlign w:val="center"/>
          </w:tcPr>
          <w:p>
            <w:pPr>
              <w:jc w:val="center"/>
              <w:rPr>
                <w:rFonts w:ascii="Times New Roman" w:hAnsi="Times New Roman" w:eastAsia="仿宋_GB2312"/>
                <w:b/>
                <w:bCs/>
                <w:color w:val="000000"/>
                <w:kern w:val="0"/>
              </w:rPr>
            </w:pPr>
            <w:r>
              <w:rPr>
                <w:rFonts w:ascii="Times New Roman" w:hAnsi="Times New Roman" w:eastAsia="仿宋_GB2312"/>
                <w:b/>
                <w:bCs/>
                <w:color w:val="000000"/>
                <w:kern w:val="0"/>
              </w:rPr>
              <w:t>2020</w:t>
            </w:r>
            <w:r>
              <w:rPr>
                <w:rFonts w:hint="eastAsia" w:ascii="Times New Roman" w:hAnsi="Times New Roman" w:eastAsia="仿宋_GB2312"/>
                <w:b/>
                <w:bCs/>
                <w:color w:val="000000"/>
                <w:kern w:val="0"/>
              </w:rPr>
              <w:t>年</w:t>
            </w:r>
          </w:p>
        </w:tc>
        <w:tc>
          <w:tcPr>
            <w:tcW w:w="646" w:type="dxa"/>
            <w:shd w:val="clear" w:color="auto" w:fill="auto"/>
            <w:noWrap/>
            <w:vAlign w:val="center"/>
          </w:tcPr>
          <w:p>
            <w:pPr>
              <w:jc w:val="center"/>
              <w:rPr>
                <w:rFonts w:ascii="Times New Roman" w:hAnsi="Times New Roman" w:eastAsia="仿宋_GB2312"/>
                <w:b/>
                <w:bCs/>
                <w:color w:val="000000"/>
                <w:kern w:val="0"/>
              </w:rPr>
            </w:pPr>
            <w:r>
              <w:rPr>
                <w:rFonts w:hint="eastAsia" w:ascii="Times New Roman" w:hAnsi="Times New Roman" w:eastAsia="仿宋_GB2312"/>
                <w:b/>
                <w:bCs/>
                <w:color w:val="000000"/>
                <w:kern w:val="0"/>
              </w:rPr>
              <w:t>年均增长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restart"/>
            <w:shd w:val="clear" w:color="auto" w:fill="auto"/>
            <w:vAlign w:val="center"/>
          </w:tcPr>
          <w:p>
            <w:pPr>
              <w:jc w:val="left"/>
              <w:rPr>
                <w:rFonts w:ascii="Times New Roman" w:hAnsi="Times New Roman" w:eastAsia="仿宋_GB2312"/>
                <w:b/>
                <w:bCs/>
                <w:color w:val="000000"/>
                <w:kern w:val="0"/>
              </w:rPr>
            </w:pPr>
            <w:r>
              <w:rPr>
                <w:rFonts w:hint="eastAsia" w:ascii="Times New Roman" w:hAnsi="Times New Roman" w:eastAsia="仿宋_GB2312"/>
                <w:b/>
                <w:bCs/>
                <w:color w:val="000000"/>
                <w:kern w:val="0"/>
              </w:rPr>
              <w:t>一、经济发展</w:t>
            </w:r>
          </w:p>
        </w:tc>
        <w:tc>
          <w:tcPr>
            <w:tcW w:w="492"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1</w:t>
            </w:r>
          </w:p>
        </w:tc>
        <w:tc>
          <w:tcPr>
            <w:tcW w:w="2860" w:type="dxa"/>
            <w:gridSpan w:val="2"/>
            <w:shd w:val="clear" w:color="auto" w:fill="auto"/>
            <w:vAlign w:val="center"/>
          </w:tcPr>
          <w:p>
            <w:pPr>
              <w:jc w:val="left"/>
              <w:rPr>
                <w:rFonts w:ascii="Times New Roman" w:hAnsi="Times New Roman" w:eastAsia="仿宋_GB2312"/>
                <w:color w:val="000000"/>
                <w:kern w:val="0"/>
              </w:rPr>
            </w:pPr>
            <w:r>
              <w:rPr>
                <w:rFonts w:hint="eastAsia" w:ascii="Times New Roman" w:hAnsi="Times New Roman" w:eastAsia="仿宋_GB2312"/>
                <w:color w:val="000000"/>
                <w:kern w:val="0"/>
              </w:rPr>
              <w:t>地区生产总值（亿元）</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预期性</w:t>
            </w:r>
          </w:p>
        </w:tc>
        <w:tc>
          <w:tcPr>
            <w:tcW w:w="993" w:type="dxa"/>
            <w:shd w:val="clear" w:color="auto" w:fill="auto"/>
            <w:vAlign w:val="center"/>
          </w:tcPr>
          <w:p>
            <w:pPr>
              <w:jc w:val="center"/>
              <w:rPr>
                <w:rFonts w:ascii="Times New Roman" w:hAnsi="Times New Roman" w:eastAsia="仿宋_GB2312"/>
                <w:color w:val="000000"/>
                <w:kern w:val="0"/>
                <w:highlight w:val="none"/>
              </w:rPr>
            </w:pPr>
            <w:r>
              <w:rPr>
                <w:rFonts w:ascii="Times New Roman" w:hAnsi="Times New Roman" w:eastAsia="仿宋_GB2312"/>
                <w:color w:val="000000"/>
                <w:kern w:val="0"/>
                <w:highlight w:val="none"/>
              </w:rPr>
              <w:t>306.8</w:t>
            </w:r>
          </w:p>
        </w:tc>
        <w:tc>
          <w:tcPr>
            <w:tcW w:w="850" w:type="dxa"/>
            <w:shd w:val="clear" w:color="auto" w:fill="auto"/>
            <w:vAlign w:val="center"/>
          </w:tcPr>
          <w:p>
            <w:pPr>
              <w:jc w:val="center"/>
              <w:rPr>
                <w:rFonts w:ascii="Times New Roman" w:hAnsi="Times New Roman" w:eastAsia="仿宋_GB2312"/>
                <w:color w:val="000000"/>
                <w:kern w:val="0"/>
                <w:highlight w:val="none"/>
              </w:rPr>
            </w:pPr>
            <w:r>
              <w:rPr>
                <w:rFonts w:ascii="Times New Roman" w:hAnsi="Times New Roman" w:eastAsia="仿宋_GB2312"/>
                <w:color w:val="000000"/>
                <w:kern w:val="0"/>
                <w:highlight w:val="none"/>
              </w:rPr>
              <w:t>9.5</w:t>
            </w:r>
            <w:r>
              <w:rPr>
                <w:rFonts w:hint="eastAsia" w:ascii="Times New Roman" w:hAnsi="Times New Roman" w:eastAsia="仿宋_GB2312"/>
                <w:color w:val="000000"/>
                <w:kern w:val="0"/>
                <w:highlight w:val="none"/>
              </w:rPr>
              <w:t>左右</w:t>
            </w:r>
          </w:p>
        </w:tc>
        <w:tc>
          <w:tcPr>
            <w:tcW w:w="709" w:type="dxa"/>
            <w:shd w:val="clear" w:color="auto" w:fill="auto"/>
            <w:noWrap/>
            <w:vAlign w:val="center"/>
          </w:tcPr>
          <w:p>
            <w:pPr>
              <w:jc w:val="center"/>
              <w:rPr>
                <w:rFonts w:hint="default" w:ascii="Times New Roman" w:hAnsi="Times New Roman" w:eastAsia="仿宋_GB2312"/>
                <w:color w:val="000000"/>
                <w:kern w:val="0"/>
                <w:highlight w:val="none"/>
                <w:lang w:val="en-US" w:eastAsia="zh-CN"/>
              </w:rPr>
            </w:pPr>
            <w:r>
              <w:rPr>
                <w:rFonts w:hint="eastAsia" w:ascii="Times New Roman" w:hAnsi="Times New Roman" w:eastAsia="仿宋_GB2312"/>
                <w:color w:val="000000"/>
                <w:kern w:val="0"/>
                <w:highlight w:val="none"/>
                <w:lang w:val="en-US" w:eastAsia="zh-CN"/>
              </w:rPr>
              <w:t>328.29</w:t>
            </w:r>
          </w:p>
        </w:tc>
        <w:tc>
          <w:tcPr>
            <w:tcW w:w="646" w:type="dxa"/>
            <w:shd w:val="clear" w:color="auto" w:fill="auto"/>
            <w:noWrap/>
            <w:vAlign w:val="center"/>
          </w:tcPr>
          <w:p>
            <w:pPr>
              <w:jc w:val="both"/>
              <w:rPr>
                <w:rFonts w:hint="eastAsia" w:ascii="Times New Roman" w:hAnsi="Times New Roman" w:eastAsia="仿宋_GB2312"/>
                <w:color w:val="000000"/>
                <w:kern w:val="0"/>
                <w:highlight w:val="none"/>
                <w:lang w:eastAsia="zh-CN"/>
              </w:rPr>
            </w:pPr>
            <w:r>
              <w:rPr>
                <w:rFonts w:hint="eastAsia" w:ascii="Times New Roman" w:hAnsi="Times New Roman" w:eastAsia="仿宋_GB2312"/>
                <w:color w:val="000000"/>
                <w:kern w:val="0"/>
                <w:highlight w:val="none"/>
              </w:rPr>
              <w:t>7.</w:t>
            </w:r>
            <w:r>
              <w:rPr>
                <w:rFonts w:hint="eastAsia" w:ascii="Times New Roman" w:hAnsi="Times New Roman" w:eastAsia="仿宋_GB2312"/>
                <w:color w:val="000000"/>
                <w:kern w:val="0"/>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2</w:t>
            </w:r>
          </w:p>
        </w:tc>
        <w:tc>
          <w:tcPr>
            <w:tcW w:w="2860" w:type="dxa"/>
            <w:gridSpan w:val="2"/>
            <w:shd w:val="clear" w:color="auto" w:fill="auto"/>
            <w:vAlign w:val="center"/>
          </w:tcPr>
          <w:p>
            <w:pPr>
              <w:jc w:val="left"/>
              <w:rPr>
                <w:rFonts w:ascii="Times New Roman" w:hAnsi="Times New Roman" w:eastAsia="仿宋_GB2312"/>
                <w:color w:val="000000"/>
                <w:kern w:val="0"/>
              </w:rPr>
            </w:pPr>
            <w:r>
              <w:rPr>
                <w:rFonts w:hint="eastAsia" w:ascii="Times New Roman" w:hAnsi="Times New Roman" w:eastAsia="仿宋_GB2312"/>
                <w:color w:val="000000"/>
                <w:kern w:val="0"/>
              </w:rPr>
              <w:t>人均生产总值（元）</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预期性</w:t>
            </w:r>
          </w:p>
        </w:tc>
        <w:tc>
          <w:tcPr>
            <w:tcW w:w="993" w:type="dxa"/>
            <w:shd w:val="clear" w:color="auto" w:fill="auto"/>
            <w:vAlign w:val="center"/>
          </w:tcPr>
          <w:p>
            <w:pPr>
              <w:jc w:val="center"/>
              <w:rPr>
                <w:rFonts w:ascii="Times New Roman" w:hAnsi="Times New Roman" w:eastAsia="仿宋_GB2312"/>
                <w:color w:val="000000"/>
                <w:kern w:val="0"/>
                <w:highlight w:val="none"/>
              </w:rPr>
            </w:pPr>
            <w:r>
              <w:rPr>
                <w:rFonts w:ascii="Times New Roman" w:hAnsi="Times New Roman" w:eastAsia="仿宋_GB2312"/>
                <w:color w:val="000000"/>
                <w:kern w:val="0"/>
                <w:highlight w:val="none"/>
              </w:rPr>
              <w:t>24528</w:t>
            </w:r>
          </w:p>
        </w:tc>
        <w:tc>
          <w:tcPr>
            <w:tcW w:w="850" w:type="dxa"/>
            <w:shd w:val="clear" w:color="auto" w:fill="auto"/>
            <w:vAlign w:val="center"/>
          </w:tcPr>
          <w:p>
            <w:pPr>
              <w:jc w:val="center"/>
              <w:rPr>
                <w:rFonts w:ascii="Times New Roman" w:hAnsi="Times New Roman" w:eastAsia="仿宋_GB2312"/>
                <w:color w:val="000000"/>
                <w:kern w:val="0"/>
                <w:highlight w:val="none"/>
              </w:rPr>
            </w:pPr>
            <w:r>
              <w:rPr>
                <w:rFonts w:ascii="Times New Roman" w:hAnsi="Times New Roman" w:eastAsia="仿宋_GB2312"/>
                <w:color w:val="000000"/>
                <w:kern w:val="0"/>
                <w:highlight w:val="none"/>
              </w:rPr>
              <w:t>8.8</w:t>
            </w:r>
            <w:r>
              <w:rPr>
                <w:rFonts w:hint="eastAsia" w:ascii="Times New Roman" w:hAnsi="Times New Roman" w:eastAsia="仿宋_GB2312"/>
                <w:color w:val="000000"/>
                <w:kern w:val="0"/>
                <w:highlight w:val="none"/>
              </w:rPr>
              <w:t>左右</w:t>
            </w:r>
          </w:p>
        </w:tc>
        <w:tc>
          <w:tcPr>
            <w:tcW w:w="709" w:type="dxa"/>
            <w:shd w:val="clear" w:color="auto" w:fill="auto"/>
            <w:noWrap/>
            <w:vAlign w:val="center"/>
          </w:tcPr>
          <w:p>
            <w:pPr>
              <w:jc w:val="center"/>
              <w:rPr>
                <w:rFonts w:hint="default" w:ascii="Times New Roman" w:hAnsi="Times New Roman" w:eastAsia="仿宋_GB2312"/>
                <w:color w:val="000000"/>
                <w:kern w:val="0"/>
                <w:highlight w:val="none"/>
                <w:lang w:val="en-US" w:eastAsia="zh-CN"/>
              </w:rPr>
            </w:pPr>
            <w:r>
              <w:rPr>
                <w:rFonts w:hint="eastAsia" w:ascii="Times New Roman" w:hAnsi="Times New Roman" w:eastAsia="仿宋_GB2312"/>
                <w:color w:val="000000"/>
                <w:kern w:val="0"/>
                <w:highlight w:val="none"/>
                <w:lang w:val="en-US" w:eastAsia="zh-CN"/>
              </w:rPr>
              <w:t>38396</w:t>
            </w:r>
          </w:p>
        </w:tc>
        <w:tc>
          <w:tcPr>
            <w:tcW w:w="646" w:type="dxa"/>
            <w:shd w:val="clear" w:color="auto" w:fill="auto"/>
            <w:noWrap/>
            <w:vAlign w:val="center"/>
          </w:tcPr>
          <w:p>
            <w:pPr>
              <w:jc w:val="both"/>
              <w:rPr>
                <w:rFonts w:hint="eastAsia" w:ascii="Times New Roman" w:hAnsi="Times New Roman" w:eastAsia="仿宋_GB2312"/>
                <w:color w:val="000000"/>
                <w:kern w:val="0"/>
                <w:highlight w:val="none"/>
                <w:lang w:val="en-US" w:eastAsia="zh-CN"/>
              </w:rPr>
            </w:pPr>
            <w:r>
              <w:rPr>
                <w:rFonts w:hint="eastAsia" w:ascii="Times New Roman" w:hAnsi="Times New Roman" w:eastAsia="仿宋_GB2312"/>
                <w:color w:val="000000"/>
                <w:kern w:val="0"/>
                <w:highlight w:val="none"/>
              </w:rPr>
              <w:t>7.</w:t>
            </w:r>
            <w:r>
              <w:rPr>
                <w:rFonts w:hint="eastAsia" w:ascii="Times New Roman" w:hAnsi="Times New Roman" w:eastAsia="仿宋_GB2312"/>
                <w:color w:val="000000"/>
                <w:kern w:val="0"/>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3</w:t>
            </w:r>
          </w:p>
        </w:tc>
        <w:tc>
          <w:tcPr>
            <w:tcW w:w="2860" w:type="dxa"/>
            <w:gridSpan w:val="2"/>
            <w:shd w:val="clear" w:color="auto" w:fill="auto"/>
            <w:vAlign w:val="center"/>
          </w:tcPr>
          <w:p>
            <w:pPr>
              <w:jc w:val="left"/>
              <w:rPr>
                <w:rFonts w:ascii="Times New Roman"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14:textFill>
                  <w14:solidFill>
                    <w14:schemeClr w14:val="tx1"/>
                  </w14:solidFill>
                </w14:textFill>
              </w:rPr>
              <w:t>全社会固定资产投资（亿元）</w:t>
            </w:r>
          </w:p>
        </w:tc>
        <w:tc>
          <w:tcPr>
            <w:tcW w:w="850"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14:textFill>
                  <w14:solidFill>
                    <w14:schemeClr w14:val="tx1"/>
                  </w14:solidFill>
                </w14:textFill>
              </w:rPr>
              <w:t>预期性</w:t>
            </w:r>
          </w:p>
        </w:tc>
        <w:tc>
          <w:tcPr>
            <w:tcW w:w="993" w:type="dxa"/>
            <w:shd w:val="clear" w:color="auto" w:fill="auto"/>
            <w:vAlign w:val="center"/>
          </w:tcPr>
          <w:p>
            <w:pPr>
              <w:jc w:val="center"/>
              <w:rPr>
                <w:rFonts w:ascii="Times New Roman" w:hAnsi="Times New Roman" w:eastAsia="仿宋_GB2312"/>
                <w:color w:val="000000" w:themeColor="text1"/>
                <w:kern w:val="0"/>
                <w:highlight w:val="none"/>
                <w14:textFill>
                  <w14:solidFill>
                    <w14:schemeClr w14:val="tx1"/>
                  </w14:solidFill>
                </w14:textFill>
              </w:rPr>
            </w:pPr>
            <w:r>
              <w:rPr>
                <w:rFonts w:ascii="Times New Roman" w:hAnsi="Times New Roman" w:eastAsia="仿宋_GB2312"/>
                <w:color w:val="000000" w:themeColor="text1"/>
                <w:kern w:val="0"/>
                <w:highlight w:val="none"/>
                <w14:textFill>
                  <w14:solidFill>
                    <w14:schemeClr w14:val="tx1"/>
                  </w14:solidFill>
                </w14:textFill>
              </w:rPr>
              <w:t>393.4</w:t>
            </w:r>
          </w:p>
        </w:tc>
        <w:tc>
          <w:tcPr>
            <w:tcW w:w="850" w:type="dxa"/>
            <w:shd w:val="clear" w:color="auto" w:fill="auto"/>
            <w:vAlign w:val="center"/>
          </w:tcPr>
          <w:p>
            <w:pPr>
              <w:jc w:val="center"/>
              <w:rPr>
                <w:rFonts w:ascii="Times New Roman" w:hAnsi="Times New Roman" w:eastAsia="仿宋_GB2312"/>
                <w:color w:val="000000" w:themeColor="text1"/>
                <w:kern w:val="0"/>
                <w:highlight w:val="none"/>
                <w14:textFill>
                  <w14:solidFill>
                    <w14:schemeClr w14:val="tx1"/>
                  </w14:solidFill>
                </w14:textFill>
              </w:rPr>
            </w:pPr>
            <w:r>
              <w:rPr>
                <w:rFonts w:ascii="Times New Roman" w:hAnsi="Times New Roman" w:eastAsia="仿宋_GB2312"/>
                <w:color w:val="000000" w:themeColor="text1"/>
                <w:kern w:val="0"/>
                <w:highlight w:val="none"/>
                <w14:textFill>
                  <w14:solidFill>
                    <w14:schemeClr w14:val="tx1"/>
                  </w14:solidFill>
                </w14:textFill>
              </w:rPr>
              <w:t>16</w:t>
            </w:r>
          </w:p>
        </w:tc>
        <w:tc>
          <w:tcPr>
            <w:tcW w:w="709" w:type="dxa"/>
            <w:shd w:val="clear" w:color="auto" w:fill="auto"/>
            <w:noWrap/>
            <w:vAlign w:val="center"/>
          </w:tcPr>
          <w:p>
            <w:pPr>
              <w:jc w:val="center"/>
              <w:rPr>
                <w:rFonts w:hint="default" w:ascii="Times New Roman" w:hAnsi="Times New Roman" w:eastAsia="仿宋_GB2312"/>
                <w:color w:val="000000"/>
                <w:kern w:val="0"/>
                <w:highlight w:val="none"/>
                <w:lang w:val="en-US" w:eastAsia="zh-CN"/>
              </w:rPr>
            </w:pPr>
          </w:p>
        </w:tc>
        <w:tc>
          <w:tcPr>
            <w:tcW w:w="646" w:type="dxa"/>
            <w:shd w:val="clear" w:color="auto" w:fill="auto"/>
            <w:noWrap/>
            <w:vAlign w:val="center"/>
          </w:tcPr>
          <w:p>
            <w:pPr>
              <w:jc w:val="both"/>
              <w:rPr>
                <w:rFonts w:ascii="Times New Roman" w:hAnsi="Times New Roman" w:eastAsia="仿宋_GB2312"/>
                <w:color w:val="000000"/>
                <w:kern w:val="0"/>
                <w:highlight w:val="none"/>
              </w:rPr>
            </w:pPr>
            <w:r>
              <w:rPr>
                <w:rFonts w:hint="eastAsia" w:ascii="Times New Roman" w:hAnsi="Times New Roman" w:eastAsia="仿宋_GB2312"/>
                <w:color w:val="000000"/>
                <w:kern w:val="0"/>
                <w:highlight w:val="none"/>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4</w:t>
            </w:r>
          </w:p>
        </w:tc>
        <w:tc>
          <w:tcPr>
            <w:tcW w:w="2860" w:type="dxa"/>
            <w:gridSpan w:val="2"/>
            <w:shd w:val="clear" w:color="auto" w:fill="auto"/>
            <w:vAlign w:val="center"/>
          </w:tcPr>
          <w:p>
            <w:pPr>
              <w:jc w:val="left"/>
              <w:rPr>
                <w:rFonts w:ascii="Times New Roman"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14:textFill>
                  <w14:solidFill>
                    <w14:schemeClr w14:val="tx1"/>
                  </w14:solidFill>
                </w14:textFill>
              </w:rPr>
              <w:t>地方财政一般预算收入（亿元）</w:t>
            </w:r>
          </w:p>
        </w:tc>
        <w:tc>
          <w:tcPr>
            <w:tcW w:w="850"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14:textFill>
                  <w14:solidFill>
                    <w14:schemeClr w14:val="tx1"/>
                  </w14:solidFill>
                </w14:textFill>
              </w:rPr>
              <w:t>预期性</w:t>
            </w:r>
          </w:p>
        </w:tc>
        <w:tc>
          <w:tcPr>
            <w:tcW w:w="993"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11.3</w:t>
            </w:r>
          </w:p>
        </w:tc>
        <w:tc>
          <w:tcPr>
            <w:tcW w:w="850"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10.5</w:t>
            </w:r>
          </w:p>
        </w:tc>
        <w:tc>
          <w:tcPr>
            <w:tcW w:w="709"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646"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5</w:t>
            </w:r>
          </w:p>
        </w:tc>
        <w:tc>
          <w:tcPr>
            <w:tcW w:w="2860" w:type="dxa"/>
            <w:gridSpan w:val="2"/>
            <w:shd w:val="clear" w:color="auto" w:fill="auto"/>
            <w:vAlign w:val="center"/>
          </w:tcPr>
          <w:p>
            <w:pPr>
              <w:jc w:val="left"/>
              <w:rPr>
                <w:rFonts w:ascii="Times New Roman"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14:textFill>
                  <w14:solidFill>
                    <w14:schemeClr w14:val="tx1"/>
                  </w14:solidFill>
                </w14:textFill>
              </w:rPr>
              <w:t>规上工业增加值（亿元）</w:t>
            </w:r>
          </w:p>
        </w:tc>
        <w:tc>
          <w:tcPr>
            <w:tcW w:w="850"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14:textFill>
                  <w14:solidFill>
                    <w14:schemeClr w14:val="tx1"/>
                  </w14:solidFill>
                </w14:textFill>
              </w:rPr>
              <w:t>预期性</w:t>
            </w:r>
          </w:p>
        </w:tc>
        <w:tc>
          <w:tcPr>
            <w:tcW w:w="993" w:type="dxa"/>
            <w:shd w:val="clear" w:color="auto" w:fill="auto"/>
            <w:vAlign w:val="center"/>
          </w:tcPr>
          <w:p>
            <w:pPr>
              <w:jc w:val="center"/>
              <w:rPr>
                <w:rFonts w:ascii="Times New Roman" w:hAnsi="Times New Roman" w:eastAsia="仿宋_GB2312"/>
                <w:color w:val="000000" w:themeColor="text1"/>
                <w:kern w:val="0"/>
                <w:highlight w:val="none"/>
                <w14:textFill>
                  <w14:solidFill>
                    <w14:schemeClr w14:val="tx1"/>
                  </w14:solidFill>
                </w14:textFill>
              </w:rPr>
            </w:pPr>
            <w:r>
              <w:rPr>
                <w:rFonts w:ascii="Times New Roman" w:hAnsi="Times New Roman" w:eastAsia="仿宋_GB2312"/>
                <w:color w:val="000000" w:themeColor="text1"/>
                <w:kern w:val="0"/>
                <w:highlight w:val="none"/>
                <w14:textFill>
                  <w14:solidFill>
                    <w14:schemeClr w14:val="tx1"/>
                  </w14:solidFill>
                </w14:textFill>
              </w:rPr>
              <w:t>84.8</w:t>
            </w:r>
          </w:p>
        </w:tc>
        <w:tc>
          <w:tcPr>
            <w:tcW w:w="850" w:type="dxa"/>
            <w:shd w:val="clear" w:color="auto" w:fill="auto"/>
            <w:vAlign w:val="center"/>
          </w:tcPr>
          <w:p>
            <w:pPr>
              <w:jc w:val="center"/>
              <w:rPr>
                <w:rFonts w:ascii="Times New Roman" w:hAnsi="Times New Roman" w:eastAsia="仿宋_GB2312"/>
                <w:color w:val="000000" w:themeColor="text1"/>
                <w:kern w:val="0"/>
                <w:highlight w:val="none"/>
                <w14:textFill>
                  <w14:solidFill>
                    <w14:schemeClr w14:val="tx1"/>
                  </w14:solidFill>
                </w14:textFill>
              </w:rPr>
            </w:pPr>
            <w:r>
              <w:rPr>
                <w:rFonts w:ascii="Times New Roman" w:hAnsi="Times New Roman" w:eastAsia="仿宋_GB2312"/>
                <w:color w:val="000000" w:themeColor="text1"/>
                <w:kern w:val="0"/>
                <w:highlight w:val="none"/>
                <w14:textFill>
                  <w14:solidFill>
                    <w14:schemeClr w14:val="tx1"/>
                  </w14:solidFill>
                </w14:textFill>
              </w:rPr>
              <w:t>9</w:t>
            </w:r>
          </w:p>
        </w:tc>
        <w:tc>
          <w:tcPr>
            <w:tcW w:w="709" w:type="dxa"/>
            <w:shd w:val="clear" w:color="auto" w:fill="auto"/>
            <w:noWrap/>
            <w:vAlign w:val="center"/>
          </w:tcPr>
          <w:p>
            <w:pPr>
              <w:jc w:val="center"/>
              <w:rPr>
                <w:rFonts w:ascii="Times New Roman" w:hAnsi="Times New Roman" w:eastAsia="仿宋_GB2312"/>
                <w:color w:val="000000"/>
                <w:kern w:val="0"/>
                <w:highlight w:val="none"/>
              </w:rPr>
            </w:pPr>
            <w:r>
              <w:rPr>
                <w:rFonts w:hint="eastAsia" w:ascii="Times New Roman" w:hAnsi="Times New Roman" w:eastAsia="仿宋_GB2312"/>
                <w:color w:val="000000"/>
                <w:kern w:val="0"/>
                <w:highlight w:val="none"/>
              </w:rPr>
              <w:t>　</w:t>
            </w:r>
          </w:p>
        </w:tc>
        <w:tc>
          <w:tcPr>
            <w:tcW w:w="646" w:type="dxa"/>
            <w:shd w:val="clear" w:color="auto" w:fill="auto"/>
            <w:noWrap/>
            <w:vAlign w:val="center"/>
          </w:tcPr>
          <w:p>
            <w:pPr>
              <w:jc w:val="both"/>
              <w:rPr>
                <w:rFonts w:ascii="Times New Roman" w:hAnsi="Times New Roman" w:eastAsia="仿宋_GB2312"/>
                <w:color w:val="000000"/>
                <w:kern w:val="0"/>
                <w:highlight w:val="none"/>
              </w:rPr>
            </w:pPr>
            <w:r>
              <w:rPr>
                <w:rFonts w:hint="eastAsia" w:ascii="Times New Roman" w:hAnsi="Times New Roman" w:eastAsia="仿宋_GB2312"/>
                <w:color w:val="000000"/>
                <w:kern w:val="0"/>
                <w:highlight w:val="none"/>
              </w:rPr>
              <w:t>7</w:t>
            </w:r>
            <w:r>
              <w:rPr>
                <w:rFonts w:hint="eastAsia" w:ascii="Times New Roman" w:hAnsi="Times New Roman" w:eastAsia="仿宋_GB2312"/>
                <w:color w:val="000000"/>
                <w:kern w:val="0"/>
                <w:highlight w:val="none"/>
                <w:lang w:val="en-US" w:eastAsia="zh-CN"/>
              </w:rPr>
              <w:t>.5</w:t>
            </w:r>
            <w:r>
              <w:rPr>
                <w:rFonts w:hint="eastAsia" w:ascii="Times New Roman" w:hAnsi="Times New Roman" w:eastAsia="仿宋_GB2312"/>
                <w:color w:val="000000"/>
                <w:kern w:val="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6</w:t>
            </w:r>
          </w:p>
        </w:tc>
        <w:tc>
          <w:tcPr>
            <w:tcW w:w="2860" w:type="dxa"/>
            <w:gridSpan w:val="2"/>
            <w:shd w:val="clear" w:color="auto" w:fill="auto"/>
            <w:vAlign w:val="center"/>
          </w:tcPr>
          <w:p>
            <w:pPr>
              <w:jc w:val="left"/>
              <w:rPr>
                <w:rFonts w:ascii="Times New Roman"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14:textFill>
                  <w14:solidFill>
                    <w14:schemeClr w14:val="tx1"/>
                  </w14:solidFill>
                </w14:textFill>
              </w:rPr>
              <w:t>服务业增加值比重</w:t>
            </w:r>
            <w:r>
              <w:rPr>
                <w:rFonts w:ascii="Times New Roman" w:hAnsi="Times New Roman" w:eastAsia="仿宋_GB2312"/>
                <w:color w:val="000000" w:themeColor="text1"/>
                <w:kern w:val="0"/>
                <w14:textFill>
                  <w14:solidFill>
                    <w14:schemeClr w14:val="tx1"/>
                  </w14:solidFill>
                </w14:textFill>
              </w:rPr>
              <w:t>(%)</w:t>
            </w:r>
          </w:p>
        </w:tc>
        <w:tc>
          <w:tcPr>
            <w:tcW w:w="850"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14:textFill>
                  <w14:solidFill>
                    <w14:schemeClr w14:val="tx1"/>
                  </w14:solidFill>
                </w14:textFill>
              </w:rPr>
              <w:t>预期性</w:t>
            </w:r>
          </w:p>
        </w:tc>
        <w:tc>
          <w:tcPr>
            <w:tcW w:w="993" w:type="dxa"/>
            <w:shd w:val="clear" w:color="auto" w:fill="auto"/>
            <w:vAlign w:val="center"/>
          </w:tcPr>
          <w:p>
            <w:pPr>
              <w:jc w:val="center"/>
              <w:rPr>
                <w:rFonts w:ascii="Times New Roman" w:hAnsi="Times New Roman" w:eastAsia="仿宋_GB2312"/>
                <w:color w:val="000000" w:themeColor="text1"/>
                <w:kern w:val="0"/>
                <w:highlight w:val="none"/>
                <w14:textFill>
                  <w14:solidFill>
                    <w14:schemeClr w14:val="tx1"/>
                  </w14:solidFill>
                </w14:textFill>
              </w:rPr>
            </w:pPr>
            <w:r>
              <w:rPr>
                <w:rFonts w:ascii="Times New Roman" w:hAnsi="Times New Roman" w:eastAsia="仿宋_GB2312"/>
                <w:color w:val="000000" w:themeColor="text1"/>
                <w:kern w:val="0"/>
                <w:highlight w:val="none"/>
                <w14:textFill>
                  <w14:solidFill>
                    <w14:schemeClr w14:val="tx1"/>
                  </w14:solidFill>
                </w14:textFill>
              </w:rPr>
              <w:t>39</w:t>
            </w:r>
          </w:p>
        </w:tc>
        <w:tc>
          <w:tcPr>
            <w:tcW w:w="850" w:type="dxa"/>
            <w:shd w:val="clear" w:color="auto" w:fill="auto"/>
            <w:vAlign w:val="center"/>
          </w:tcPr>
          <w:p>
            <w:pPr>
              <w:jc w:val="center"/>
              <w:rPr>
                <w:rFonts w:ascii="Times New Roman" w:hAnsi="Times New Roman" w:eastAsia="仿宋_GB2312"/>
                <w:color w:val="000000" w:themeColor="text1"/>
                <w:kern w:val="0"/>
                <w:highlight w:val="none"/>
                <w14:textFill>
                  <w14:solidFill>
                    <w14:schemeClr w14:val="tx1"/>
                  </w14:solidFill>
                </w14:textFill>
              </w:rPr>
            </w:pPr>
            <w:r>
              <w:rPr>
                <w:rFonts w:ascii="Times New Roman" w:hAnsi="Times New Roman" w:eastAsia="仿宋_GB2312"/>
                <w:color w:val="000000" w:themeColor="text1"/>
                <w:kern w:val="0"/>
                <w:highlight w:val="none"/>
                <w14:textFill>
                  <w14:solidFill>
                    <w14:schemeClr w14:val="tx1"/>
                  </w14:solidFill>
                </w14:textFill>
              </w:rPr>
              <w:t>[4]</w:t>
            </w:r>
          </w:p>
        </w:tc>
        <w:tc>
          <w:tcPr>
            <w:tcW w:w="709" w:type="dxa"/>
            <w:shd w:val="clear" w:color="auto" w:fill="auto"/>
            <w:noWrap/>
            <w:vAlign w:val="center"/>
          </w:tcPr>
          <w:p>
            <w:pPr>
              <w:jc w:val="both"/>
              <w:rPr>
                <w:rFonts w:hint="default" w:ascii="Times New Roman" w:hAnsi="Times New Roman" w:eastAsia="仿宋_GB2312"/>
                <w:color w:val="000000"/>
                <w:kern w:val="0"/>
                <w:highlight w:val="none"/>
                <w:lang w:val="en-US" w:eastAsia="zh-CN"/>
              </w:rPr>
            </w:pPr>
            <w:r>
              <w:rPr>
                <w:rFonts w:hint="eastAsia" w:ascii="Times New Roman" w:hAnsi="Times New Roman" w:eastAsia="仿宋_GB2312"/>
                <w:color w:val="000000"/>
                <w:kern w:val="0"/>
                <w:highlight w:val="none"/>
              </w:rPr>
              <w:t>4</w:t>
            </w:r>
            <w:r>
              <w:rPr>
                <w:rFonts w:hint="eastAsia" w:ascii="Times New Roman" w:hAnsi="Times New Roman" w:eastAsia="仿宋_GB2312"/>
                <w:color w:val="000000"/>
                <w:kern w:val="0"/>
                <w:highlight w:val="none"/>
                <w:lang w:val="en-US" w:eastAsia="zh-CN"/>
              </w:rPr>
              <w:t>2.0</w:t>
            </w:r>
          </w:p>
        </w:tc>
        <w:tc>
          <w:tcPr>
            <w:tcW w:w="646" w:type="dxa"/>
            <w:shd w:val="clear" w:color="auto" w:fill="auto"/>
            <w:noWrap/>
            <w:vAlign w:val="center"/>
          </w:tcPr>
          <w:p>
            <w:pPr>
              <w:jc w:val="both"/>
              <w:rPr>
                <w:rFonts w:ascii="Times New Roman" w:hAnsi="Times New Roman" w:eastAsia="仿宋_GB2312"/>
                <w:color w:val="000000"/>
                <w:kern w:val="0"/>
                <w:highlight w:val="none"/>
              </w:rPr>
            </w:pPr>
            <w:r>
              <w:rPr>
                <w:rFonts w:hint="eastAsia" w:ascii="Times New Roman" w:hAnsi="Times New Roman" w:eastAsia="仿宋_GB2312"/>
                <w:color w:val="000000"/>
                <w:kern w:val="0"/>
                <w:highlight w:val="none"/>
                <w:lang w:val="en-US" w:eastAsia="zh-CN"/>
              </w:rPr>
              <w:t>1.08</w:t>
            </w:r>
            <w:r>
              <w:rPr>
                <w:rFonts w:hint="eastAsia" w:ascii="Times New Roman" w:hAnsi="Times New Roman" w:eastAsia="仿宋_GB2312"/>
                <w:color w:val="000000"/>
                <w:kern w:val="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vMerge w:val="restart"/>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7</w:t>
            </w:r>
          </w:p>
        </w:tc>
        <w:tc>
          <w:tcPr>
            <w:tcW w:w="1280" w:type="dxa"/>
            <w:vMerge w:val="restart"/>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14:textFill>
                  <w14:solidFill>
                    <w14:schemeClr w14:val="tx1"/>
                  </w14:solidFill>
                </w14:textFill>
              </w:rPr>
              <w:t>城镇化率</w:t>
            </w:r>
          </w:p>
        </w:tc>
        <w:tc>
          <w:tcPr>
            <w:tcW w:w="1580" w:type="dxa"/>
            <w:shd w:val="clear" w:color="auto" w:fill="auto"/>
            <w:vAlign w:val="center"/>
          </w:tcPr>
          <w:p>
            <w:pPr>
              <w:rPr>
                <w:rFonts w:ascii="Times New Roman"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14:textFill>
                  <w14:solidFill>
                    <w14:schemeClr w14:val="tx1"/>
                  </w14:solidFill>
                </w14:textFill>
              </w:rPr>
              <w:t>常住人口（</w:t>
            </w:r>
            <w:r>
              <w:rPr>
                <w:rFonts w:ascii="Times New Roman" w:hAnsi="Times New Roman" w:eastAsia="仿宋_GB2312"/>
                <w:color w:val="000000" w:themeColor="text1"/>
                <w:kern w:val="0"/>
                <w14:textFill>
                  <w14:solidFill>
                    <w14:schemeClr w14:val="tx1"/>
                  </w14:solidFill>
                </w14:textFill>
              </w:rPr>
              <w:t>%</w:t>
            </w:r>
            <w:r>
              <w:rPr>
                <w:rFonts w:hint="eastAsia" w:ascii="Times New Roman" w:hAnsi="Times New Roman" w:eastAsia="仿宋_GB2312"/>
                <w:color w:val="000000" w:themeColor="text1"/>
                <w:kern w:val="0"/>
                <w14:textFill>
                  <w14:solidFill>
                    <w14:schemeClr w14:val="tx1"/>
                  </w14:solidFill>
                </w14:textFill>
              </w:rPr>
              <w:t>）</w:t>
            </w:r>
          </w:p>
        </w:tc>
        <w:tc>
          <w:tcPr>
            <w:tcW w:w="850"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14:textFill>
                  <w14:solidFill>
                    <w14:schemeClr w14:val="tx1"/>
                  </w14:solidFill>
                </w14:textFill>
              </w:rPr>
              <w:t>预期性</w:t>
            </w:r>
          </w:p>
        </w:tc>
        <w:tc>
          <w:tcPr>
            <w:tcW w:w="993" w:type="dxa"/>
            <w:shd w:val="clear" w:color="auto" w:fill="auto"/>
            <w:vAlign w:val="center"/>
          </w:tcPr>
          <w:p>
            <w:pPr>
              <w:jc w:val="center"/>
              <w:rPr>
                <w:rFonts w:ascii="Times New Roman" w:hAnsi="Times New Roman" w:eastAsia="仿宋_GB2312"/>
                <w:color w:val="000000" w:themeColor="text1"/>
                <w:kern w:val="0"/>
                <w:highlight w:val="none"/>
                <w14:textFill>
                  <w14:solidFill>
                    <w14:schemeClr w14:val="tx1"/>
                  </w14:solidFill>
                </w14:textFill>
              </w:rPr>
            </w:pPr>
            <w:r>
              <w:rPr>
                <w:rFonts w:ascii="Times New Roman" w:hAnsi="Times New Roman" w:eastAsia="仿宋_GB2312"/>
                <w:color w:val="000000" w:themeColor="text1"/>
                <w:kern w:val="0"/>
                <w:highlight w:val="none"/>
                <w14:textFill>
                  <w14:solidFill>
                    <w14:schemeClr w14:val="tx1"/>
                  </w14:solidFill>
                </w14:textFill>
              </w:rPr>
              <w:t>43.8</w:t>
            </w:r>
          </w:p>
        </w:tc>
        <w:tc>
          <w:tcPr>
            <w:tcW w:w="850" w:type="dxa"/>
            <w:shd w:val="clear" w:color="auto" w:fill="auto"/>
            <w:vAlign w:val="center"/>
          </w:tcPr>
          <w:p>
            <w:pPr>
              <w:jc w:val="center"/>
              <w:rPr>
                <w:rFonts w:ascii="Times New Roman" w:hAnsi="Times New Roman" w:eastAsia="仿宋_GB2312"/>
                <w:color w:val="000000" w:themeColor="text1"/>
                <w:kern w:val="0"/>
                <w:highlight w:val="none"/>
                <w14:textFill>
                  <w14:solidFill>
                    <w14:schemeClr w14:val="tx1"/>
                  </w14:solidFill>
                </w14:textFill>
              </w:rPr>
            </w:pPr>
            <w:r>
              <w:rPr>
                <w:rFonts w:ascii="Times New Roman" w:hAnsi="Times New Roman" w:eastAsia="仿宋_GB2312"/>
                <w:color w:val="000000" w:themeColor="text1"/>
                <w:kern w:val="0"/>
                <w:highlight w:val="none"/>
                <w14:textFill>
                  <w14:solidFill>
                    <w14:schemeClr w14:val="tx1"/>
                  </w14:solidFill>
                </w14:textFill>
              </w:rPr>
              <w:t>[10]</w:t>
            </w:r>
          </w:p>
        </w:tc>
        <w:tc>
          <w:tcPr>
            <w:tcW w:w="709" w:type="dxa"/>
            <w:shd w:val="clear" w:color="auto" w:fill="auto"/>
            <w:noWrap/>
            <w:vAlign w:val="center"/>
          </w:tcPr>
          <w:p>
            <w:pPr>
              <w:jc w:val="both"/>
              <w:rPr>
                <w:rFonts w:ascii="Times New Roman" w:hAnsi="Times New Roman" w:eastAsia="仿宋_GB2312"/>
                <w:color w:val="000000"/>
                <w:kern w:val="0"/>
                <w:highlight w:val="none"/>
              </w:rPr>
            </w:pPr>
            <w:r>
              <w:rPr>
                <w:rFonts w:hint="eastAsia" w:ascii="Times New Roman" w:hAnsi="Times New Roman" w:eastAsia="仿宋_GB2312"/>
                <w:color w:val="000000"/>
                <w:kern w:val="0"/>
                <w:highlight w:val="none"/>
              </w:rPr>
              <w:t>43.0</w:t>
            </w:r>
          </w:p>
        </w:tc>
        <w:tc>
          <w:tcPr>
            <w:tcW w:w="646" w:type="dxa"/>
            <w:shd w:val="clear" w:color="auto" w:fill="auto"/>
            <w:noWrap/>
            <w:vAlign w:val="center"/>
          </w:tcPr>
          <w:p>
            <w:pPr>
              <w:jc w:val="both"/>
              <w:rPr>
                <w:rFonts w:ascii="Times New Roman" w:hAnsi="Times New Roman" w:eastAsia="仿宋_GB2312"/>
                <w:color w:val="000000"/>
                <w:kern w:val="0"/>
                <w:highlight w:val="none"/>
              </w:rPr>
            </w:pPr>
            <w:r>
              <w:rPr>
                <w:rFonts w:hint="eastAsia" w:ascii="Times New Roman" w:hAnsi="Times New Roman" w:eastAsia="仿宋_GB2312"/>
                <w:color w:val="000000"/>
                <w:kern w:val="0"/>
                <w:highlight w:val="none"/>
                <w:lang w:val="en-US" w:eastAsia="zh-CN"/>
              </w:rPr>
              <w:t>1.5</w:t>
            </w:r>
            <w:r>
              <w:rPr>
                <w:rFonts w:hint="eastAsia" w:ascii="Times New Roman" w:hAnsi="Times New Roman" w:eastAsia="仿宋_GB2312"/>
                <w:color w:val="000000"/>
                <w:kern w:val="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vMerge w:val="continue"/>
            <w:vAlign w:val="center"/>
          </w:tcPr>
          <w:p>
            <w:pPr>
              <w:jc w:val="left"/>
              <w:rPr>
                <w:rFonts w:ascii="Times New Roman" w:hAnsi="Times New Roman" w:eastAsia="仿宋_GB2312"/>
                <w:color w:val="000000" w:themeColor="text1"/>
                <w:kern w:val="0"/>
                <w14:textFill>
                  <w14:solidFill>
                    <w14:schemeClr w14:val="tx1"/>
                  </w14:solidFill>
                </w14:textFill>
              </w:rPr>
            </w:pPr>
          </w:p>
        </w:tc>
        <w:tc>
          <w:tcPr>
            <w:tcW w:w="1280" w:type="dxa"/>
            <w:vMerge w:val="continue"/>
            <w:vAlign w:val="center"/>
          </w:tcPr>
          <w:p>
            <w:pPr>
              <w:jc w:val="left"/>
              <w:rPr>
                <w:rFonts w:ascii="Times New Roman" w:hAnsi="Times New Roman" w:eastAsia="仿宋_GB2312"/>
                <w:color w:val="000000" w:themeColor="text1"/>
                <w:kern w:val="0"/>
                <w14:textFill>
                  <w14:solidFill>
                    <w14:schemeClr w14:val="tx1"/>
                  </w14:solidFill>
                </w14:textFill>
              </w:rPr>
            </w:pPr>
          </w:p>
        </w:tc>
        <w:tc>
          <w:tcPr>
            <w:tcW w:w="1580" w:type="dxa"/>
            <w:shd w:val="clear" w:color="auto" w:fill="auto"/>
            <w:vAlign w:val="center"/>
          </w:tcPr>
          <w:p>
            <w:pPr>
              <w:rPr>
                <w:rFonts w:ascii="Times New Roman"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14:textFill>
                  <w14:solidFill>
                    <w14:schemeClr w14:val="tx1"/>
                  </w14:solidFill>
                </w14:textFill>
              </w:rPr>
              <w:t>户籍人口（</w:t>
            </w:r>
            <w:r>
              <w:rPr>
                <w:rFonts w:ascii="Times New Roman" w:hAnsi="Times New Roman" w:eastAsia="仿宋_GB2312"/>
                <w:color w:val="000000" w:themeColor="text1"/>
                <w:kern w:val="0"/>
                <w14:textFill>
                  <w14:solidFill>
                    <w14:schemeClr w14:val="tx1"/>
                  </w14:solidFill>
                </w14:textFill>
              </w:rPr>
              <w:t>%</w:t>
            </w:r>
            <w:r>
              <w:rPr>
                <w:rFonts w:hint="eastAsia" w:ascii="Times New Roman" w:hAnsi="Times New Roman" w:eastAsia="仿宋_GB2312"/>
                <w:color w:val="000000" w:themeColor="text1"/>
                <w:kern w:val="0"/>
                <w14:textFill>
                  <w14:solidFill>
                    <w14:schemeClr w14:val="tx1"/>
                  </w14:solidFill>
                </w14:textFill>
              </w:rPr>
              <w:t>）</w:t>
            </w:r>
          </w:p>
        </w:tc>
        <w:tc>
          <w:tcPr>
            <w:tcW w:w="850"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14:textFill>
                  <w14:solidFill>
                    <w14:schemeClr w14:val="tx1"/>
                  </w14:solidFill>
                </w14:textFill>
              </w:rPr>
              <w:t>预期性</w:t>
            </w:r>
          </w:p>
        </w:tc>
        <w:tc>
          <w:tcPr>
            <w:tcW w:w="993"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30</w:t>
            </w:r>
          </w:p>
        </w:tc>
        <w:tc>
          <w:tcPr>
            <w:tcW w:w="850"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14:textFill>
                  <w14:solidFill>
                    <w14:schemeClr w14:val="tx1"/>
                  </w14:solidFill>
                </w14:textFill>
              </w:rPr>
              <w:t>　</w:t>
            </w:r>
          </w:p>
        </w:tc>
        <w:tc>
          <w:tcPr>
            <w:tcW w:w="709"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646"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8</w:t>
            </w:r>
          </w:p>
        </w:tc>
        <w:tc>
          <w:tcPr>
            <w:tcW w:w="2860" w:type="dxa"/>
            <w:gridSpan w:val="2"/>
            <w:shd w:val="clear" w:color="auto" w:fill="auto"/>
            <w:vAlign w:val="center"/>
          </w:tcPr>
          <w:p>
            <w:pPr>
              <w:jc w:val="left"/>
              <w:rPr>
                <w:rFonts w:ascii="Times New Roman"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14:textFill>
                  <w14:solidFill>
                    <w14:schemeClr w14:val="tx1"/>
                  </w14:solidFill>
                </w14:textFill>
              </w:rPr>
              <w:t>出口总值</w:t>
            </w:r>
            <w:r>
              <w:rPr>
                <w:rFonts w:ascii="Times New Roman" w:hAnsi="Times New Roman" w:eastAsia="仿宋_GB2312"/>
                <w:color w:val="000000" w:themeColor="text1"/>
                <w:kern w:val="0"/>
                <w14:textFill>
                  <w14:solidFill>
                    <w14:schemeClr w14:val="tx1"/>
                  </w14:solidFill>
                </w14:textFill>
              </w:rPr>
              <w:t>(</w:t>
            </w:r>
            <w:r>
              <w:rPr>
                <w:rFonts w:hint="eastAsia" w:ascii="Times New Roman" w:hAnsi="Times New Roman" w:eastAsia="仿宋_GB2312"/>
                <w:color w:val="000000" w:themeColor="text1"/>
                <w:kern w:val="0"/>
                <w14:textFill>
                  <w14:solidFill>
                    <w14:schemeClr w14:val="tx1"/>
                  </w14:solidFill>
                </w14:textFill>
              </w:rPr>
              <w:t>亿美元</w:t>
            </w:r>
            <w:r>
              <w:rPr>
                <w:rFonts w:ascii="Times New Roman" w:hAnsi="Times New Roman" w:eastAsia="仿宋_GB2312"/>
                <w:color w:val="000000" w:themeColor="text1"/>
                <w:kern w:val="0"/>
                <w14:textFill>
                  <w14:solidFill>
                    <w14:schemeClr w14:val="tx1"/>
                  </w14:solidFill>
                </w14:textFill>
              </w:rPr>
              <w:t>)</w:t>
            </w:r>
          </w:p>
        </w:tc>
        <w:tc>
          <w:tcPr>
            <w:tcW w:w="850"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14:textFill>
                  <w14:solidFill>
                    <w14:schemeClr w14:val="tx1"/>
                  </w14:solidFill>
                </w14:textFill>
              </w:rPr>
              <w:t>预期性</w:t>
            </w:r>
          </w:p>
        </w:tc>
        <w:tc>
          <w:tcPr>
            <w:tcW w:w="993"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0.8</w:t>
            </w:r>
          </w:p>
        </w:tc>
        <w:tc>
          <w:tcPr>
            <w:tcW w:w="850"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10</w:t>
            </w:r>
          </w:p>
        </w:tc>
        <w:tc>
          <w:tcPr>
            <w:tcW w:w="709"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646"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9</w:t>
            </w:r>
          </w:p>
        </w:tc>
        <w:tc>
          <w:tcPr>
            <w:tcW w:w="2860" w:type="dxa"/>
            <w:gridSpan w:val="2"/>
            <w:shd w:val="clear" w:color="auto" w:fill="auto"/>
            <w:vAlign w:val="center"/>
          </w:tcPr>
          <w:p>
            <w:pPr>
              <w:jc w:val="left"/>
              <w:rPr>
                <w:rFonts w:ascii="Times New Roman"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14:textFill>
                  <w14:solidFill>
                    <w14:schemeClr w14:val="tx1"/>
                  </w14:solidFill>
                </w14:textFill>
              </w:rPr>
              <w:t>实际利用外资</w:t>
            </w:r>
            <w:r>
              <w:rPr>
                <w:rFonts w:ascii="Times New Roman" w:hAnsi="Times New Roman" w:eastAsia="仿宋_GB2312"/>
                <w:color w:val="000000" w:themeColor="text1"/>
                <w:kern w:val="0"/>
                <w14:textFill>
                  <w14:solidFill>
                    <w14:schemeClr w14:val="tx1"/>
                  </w14:solidFill>
                </w14:textFill>
              </w:rPr>
              <w:t>(</w:t>
            </w:r>
            <w:r>
              <w:rPr>
                <w:rFonts w:hint="eastAsia" w:ascii="Times New Roman" w:hAnsi="Times New Roman" w:eastAsia="仿宋_GB2312"/>
                <w:color w:val="000000" w:themeColor="text1"/>
                <w:kern w:val="0"/>
                <w14:textFill>
                  <w14:solidFill>
                    <w14:schemeClr w14:val="tx1"/>
                  </w14:solidFill>
                </w14:textFill>
              </w:rPr>
              <w:t>亿美元</w:t>
            </w:r>
            <w:r>
              <w:rPr>
                <w:rFonts w:ascii="Times New Roman" w:hAnsi="Times New Roman" w:eastAsia="仿宋_GB2312"/>
                <w:color w:val="000000" w:themeColor="text1"/>
                <w:kern w:val="0"/>
                <w14:textFill>
                  <w14:solidFill>
                    <w14:schemeClr w14:val="tx1"/>
                  </w14:solidFill>
                </w14:textFill>
              </w:rPr>
              <w:t>)</w:t>
            </w:r>
          </w:p>
        </w:tc>
        <w:tc>
          <w:tcPr>
            <w:tcW w:w="850"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14:textFill>
                  <w14:solidFill>
                    <w14:schemeClr w14:val="tx1"/>
                  </w14:solidFill>
                </w14:textFill>
              </w:rPr>
              <w:t>预期性</w:t>
            </w:r>
          </w:p>
        </w:tc>
        <w:tc>
          <w:tcPr>
            <w:tcW w:w="993"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0.87</w:t>
            </w:r>
          </w:p>
        </w:tc>
        <w:tc>
          <w:tcPr>
            <w:tcW w:w="850"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3</w:t>
            </w:r>
          </w:p>
        </w:tc>
        <w:tc>
          <w:tcPr>
            <w:tcW w:w="709" w:type="dxa"/>
            <w:shd w:val="clear" w:color="auto" w:fill="auto"/>
            <w:noWrap/>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1.8</w:t>
            </w:r>
          </w:p>
        </w:tc>
        <w:tc>
          <w:tcPr>
            <w:tcW w:w="646"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11</w:t>
            </w:r>
          </w:p>
        </w:tc>
        <w:tc>
          <w:tcPr>
            <w:tcW w:w="2860" w:type="dxa"/>
            <w:gridSpan w:val="2"/>
            <w:shd w:val="clear" w:color="auto" w:fill="auto"/>
            <w:vAlign w:val="center"/>
          </w:tcPr>
          <w:p>
            <w:pPr>
              <w:jc w:val="left"/>
              <w:rPr>
                <w:rFonts w:ascii="Times New Roman"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14:textFill>
                  <w14:solidFill>
                    <w14:schemeClr w14:val="tx1"/>
                  </w14:solidFill>
                </w14:textFill>
              </w:rPr>
              <w:t>电子商务占</w:t>
            </w:r>
            <w:r>
              <w:rPr>
                <w:rFonts w:ascii="Times New Roman" w:hAnsi="Times New Roman" w:eastAsia="仿宋_GB2312"/>
                <w:color w:val="000000" w:themeColor="text1"/>
                <w:kern w:val="0"/>
                <w14:textFill>
                  <w14:solidFill>
                    <w14:schemeClr w14:val="tx1"/>
                  </w14:solidFill>
                </w14:textFill>
              </w:rPr>
              <w:t>GDP</w:t>
            </w:r>
            <w:r>
              <w:rPr>
                <w:rFonts w:hint="eastAsia" w:ascii="Times New Roman" w:hAnsi="Times New Roman" w:eastAsia="仿宋_GB2312"/>
                <w:color w:val="000000" w:themeColor="text1"/>
                <w:kern w:val="0"/>
                <w14:textFill>
                  <w14:solidFill>
                    <w14:schemeClr w14:val="tx1"/>
                  </w14:solidFill>
                </w14:textFill>
              </w:rPr>
              <w:t>比重（</w:t>
            </w:r>
            <w:r>
              <w:rPr>
                <w:rFonts w:ascii="Times New Roman" w:hAnsi="Times New Roman" w:eastAsia="仿宋_GB2312"/>
                <w:color w:val="000000" w:themeColor="text1"/>
                <w:kern w:val="0"/>
                <w14:textFill>
                  <w14:solidFill>
                    <w14:schemeClr w14:val="tx1"/>
                  </w14:solidFill>
                </w14:textFill>
              </w:rPr>
              <w:t>%</w:t>
            </w:r>
            <w:r>
              <w:rPr>
                <w:rFonts w:hint="eastAsia" w:ascii="Times New Roman" w:hAnsi="Times New Roman" w:eastAsia="仿宋_GB2312"/>
                <w:color w:val="000000" w:themeColor="text1"/>
                <w:kern w:val="0"/>
                <w14:textFill>
                  <w14:solidFill>
                    <w14:schemeClr w14:val="tx1"/>
                  </w14:solidFill>
                </w14:textFill>
              </w:rPr>
              <w:t>）</w:t>
            </w:r>
          </w:p>
        </w:tc>
        <w:tc>
          <w:tcPr>
            <w:tcW w:w="850"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14:textFill>
                  <w14:solidFill>
                    <w14:schemeClr w14:val="tx1"/>
                  </w14:solidFill>
                </w14:textFill>
              </w:rPr>
              <w:t>　</w:t>
            </w:r>
          </w:p>
        </w:tc>
        <w:tc>
          <w:tcPr>
            <w:tcW w:w="993"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10</w:t>
            </w:r>
          </w:p>
        </w:tc>
        <w:tc>
          <w:tcPr>
            <w:tcW w:w="850"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14:textFill>
                  <w14:solidFill>
                    <w14:schemeClr w14:val="tx1"/>
                  </w14:solidFill>
                </w14:textFill>
              </w:rPr>
              <w:t>　</w:t>
            </w:r>
          </w:p>
        </w:tc>
        <w:tc>
          <w:tcPr>
            <w:tcW w:w="709"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646"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restart"/>
            <w:shd w:val="clear" w:color="auto" w:fill="auto"/>
            <w:vAlign w:val="center"/>
          </w:tcPr>
          <w:p>
            <w:pPr>
              <w:jc w:val="left"/>
              <w:rPr>
                <w:rFonts w:ascii="Times New Roman" w:hAnsi="Times New Roman" w:eastAsia="仿宋_GB2312"/>
                <w:b/>
                <w:bCs/>
                <w:color w:val="000000"/>
                <w:kern w:val="0"/>
              </w:rPr>
            </w:pPr>
            <w:r>
              <w:rPr>
                <w:rFonts w:hint="eastAsia" w:ascii="Times New Roman" w:hAnsi="Times New Roman" w:eastAsia="仿宋_GB2312"/>
                <w:b/>
                <w:bCs/>
                <w:color w:val="000000"/>
                <w:kern w:val="0"/>
              </w:rPr>
              <w:t>二、创新驱动</w:t>
            </w:r>
          </w:p>
        </w:tc>
        <w:tc>
          <w:tcPr>
            <w:tcW w:w="492"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12</w:t>
            </w:r>
          </w:p>
        </w:tc>
        <w:tc>
          <w:tcPr>
            <w:tcW w:w="2860" w:type="dxa"/>
            <w:gridSpan w:val="2"/>
            <w:shd w:val="clear" w:color="auto" w:fill="auto"/>
            <w:vAlign w:val="center"/>
          </w:tcPr>
          <w:p>
            <w:pPr>
              <w:jc w:val="left"/>
              <w:rPr>
                <w:rFonts w:ascii="Times New Roman"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14:textFill>
                  <w14:solidFill>
                    <w14:schemeClr w14:val="tx1"/>
                  </w14:solidFill>
                </w14:textFill>
              </w:rPr>
              <w:t>每万人发明专利拥有量（件）</w:t>
            </w:r>
          </w:p>
        </w:tc>
        <w:tc>
          <w:tcPr>
            <w:tcW w:w="850"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14:textFill>
                  <w14:solidFill>
                    <w14:schemeClr w14:val="tx1"/>
                  </w14:solidFill>
                </w14:textFill>
              </w:rPr>
              <w:t>预期性</w:t>
            </w:r>
          </w:p>
        </w:tc>
        <w:tc>
          <w:tcPr>
            <w:tcW w:w="993"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1.8</w:t>
            </w:r>
          </w:p>
        </w:tc>
        <w:tc>
          <w:tcPr>
            <w:tcW w:w="850"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0.3</w:t>
            </w:r>
          </w:p>
        </w:tc>
        <w:tc>
          <w:tcPr>
            <w:tcW w:w="709"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646"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13</w:t>
            </w:r>
          </w:p>
        </w:tc>
        <w:tc>
          <w:tcPr>
            <w:tcW w:w="2860" w:type="dxa"/>
            <w:gridSpan w:val="2"/>
            <w:shd w:val="clear" w:color="auto" w:fill="auto"/>
            <w:vAlign w:val="center"/>
          </w:tcPr>
          <w:p>
            <w:pPr>
              <w:jc w:val="left"/>
              <w:rPr>
                <w:rFonts w:ascii="Times New Roman"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14:textFill>
                  <w14:solidFill>
                    <w14:schemeClr w14:val="tx1"/>
                  </w14:solidFill>
                </w14:textFill>
              </w:rPr>
              <w:t>研发经费投入强度</w:t>
            </w:r>
            <w:r>
              <w:rPr>
                <w:rFonts w:ascii="Times New Roman" w:hAnsi="Times New Roman" w:eastAsia="仿宋_GB2312"/>
                <w:color w:val="000000" w:themeColor="text1"/>
                <w:kern w:val="0"/>
                <w14:textFill>
                  <w14:solidFill>
                    <w14:schemeClr w14:val="tx1"/>
                  </w14:solidFill>
                </w14:textFill>
              </w:rPr>
              <w:t>(%)</w:t>
            </w:r>
          </w:p>
        </w:tc>
        <w:tc>
          <w:tcPr>
            <w:tcW w:w="850" w:type="dxa"/>
            <w:shd w:val="clear" w:color="auto" w:fill="auto"/>
            <w:vAlign w:val="center"/>
          </w:tcPr>
          <w:p>
            <w:pPr>
              <w:jc w:val="center"/>
              <w:rPr>
                <w:rFonts w:ascii="Times New Roman" w:hAnsi="Times New Roman" w:eastAsia="仿宋_GB2312"/>
                <w:color w:val="000000" w:themeColor="text1"/>
                <w:kern w:val="0"/>
                <w14:textFill>
                  <w14:solidFill>
                    <w14:schemeClr w14:val="tx1"/>
                  </w14:solidFill>
                </w14:textFill>
              </w:rPr>
            </w:pPr>
            <w:r>
              <w:rPr>
                <w:rFonts w:hint="eastAsia" w:ascii="Times New Roman" w:hAnsi="Times New Roman" w:eastAsia="仿宋_GB2312"/>
                <w:color w:val="000000" w:themeColor="text1"/>
                <w:kern w:val="0"/>
                <w14:textFill>
                  <w14:solidFill>
                    <w14:schemeClr w14:val="tx1"/>
                  </w14:solidFill>
                </w14:textFill>
              </w:rPr>
              <w:t>预期性</w:t>
            </w:r>
          </w:p>
        </w:tc>
        <w:tc>
          <w:tcPr>
            <w:tcW w:w="993" w:type="dxa"/>
            <w:shd w:val="clear" w:color="auto" w:fill="auto"/>
            <w:vAlign w:val="center"/>
          </w:tcPr>
          <w:p>
            <w:pPr>
              <w:jc w:val="center"/>
              <w:rPr>
                <w:rFonts w:ascii="Times New Roman" w:hAnsi="Times New Roman" w:eastAsia="仿宋_GB2312"/>
                <w:color w:val="000000" w:themeColor="text1"/>
                <w:kern w:val="0"/>
                <w:highlight w:val="none"/>
                <w14:textFill>
                  <w14:solidFill>
                    <w14:schemeClr w14:val="tx1"/>
                  </w14:solidFill>
                </w14:textFill>
              </w:rPr>
            </w:pPr>
            <w:r>
              <w:rPr>
                <w:rFonts w:ascii="Times New Roman" w:hAnsi="Times New Roman" w:eastAsia="仿宋_GB2312"/>
                <w:color w:val="000000" w:themeColor="text1"/>
                <w:kern w:val="0"/>
                <w:highlight w:val="none"/>
                <w14:textFill>
                  <w14:solidFill>
                    <w14:schemeClr w14:val="tx1"/>
                  </w14:solidFill>
                </w14:textFill>
              </w:rPr>
              <w:t>1.6</w:t>
            </w:r>
          </w:p>
        </w:tc>
        <w:tc>
          <w:tcPr>
            <w:tcW w:w="850" w:type="dxa"/>
            <w:shd w:val="clear" w:color="auto" w:fill="auto"/>
            <w:vAlign w:val="center"/>
          </w:tcPr>
          <w:p>
            <w:pPr>
              <w:jc w:val="center"/>
              <w:rPr>
                <w:rFonts w:ascii="Times New Roman" w:hAnsi="Times New Roman" w:eastAsia="仿宋_GB2312"/>
                <w:color w:val="000000" w:themeColor="text1"/>
                <w:kern w:val="0"/>
                <w:highlight w:val="none"/>
                <w14:textFill>
                  <w14:solidFill>
                    <w14:schemeClr w14:val="tx1"/>
                  </w14:solidFill>
                </w14:textFill>
              </w:rPr>
            </w:pPr>
          </w:p>
        </w:tc>
        <w:tc>
          <w:tcPr>
            <w:tcW w:w="709" w:type="dxa"/>
            <w:shd w:val="clear" w:color="auto" w:fill="auto"/>
            <w:noWrap/>
            <w:vAlign w:val="center"/>
          </w:tcPr>
          <w:p>
            <w:pPr>
              <w:jc w:val="both"/>
              <w:rPr>
                <w:rFonts w:ascii="Times New Roman" w:hAnsi="Times New Roman" w:eastAsia="仿宋_GB2312"/>
                <w:color w:val="000000"/>
                <w:kern w:val="0"/>
                <w:highlight w:val="none"/>
              </w:rPr>
            </w:pPr>
            <w:r>
              <w:rPr>
                <w:rFonts w:hint="eastAsia" w:ascii="Times New Roman" w:hAnsi="Times New Roman" w:eastAsia="仿宋_GB2312"/>
                <w:color w:val="000000"/>
                <w:kern w:val="0"/>
                <w:highlight w:val="none"/>
              </w:rPr>
              <w:t>1.</w:t>
            </w:r>
            <w:r>
              <w:rPr>
                <w:rFonts w:hint="eastAsia" w:ascii="Times New Roman" w:hAnsi="Times New Roman" w:eastAsia="仿宋_GB2312"/>
                <w:color w:val="000000"/>
                <w:kern w:val="0"/>
                <w:highlight w:val="none"/>
                <w:lang w:val="en-US" w:eastAsia="zh-CN"/>
              </w:rPr>
              <w:t>2</w:t>
            </w:r>
            <w:r>
              <w:rPr>
                <w:rFonts w:hint="eastAsia" w:ascii="Times New Roman" w:hAnsi="Times New Roman" w:eastAsia="仿宋_GB2312"/>
                <w:color w:val="000000"/>
                <w:kern w:val="0"/>
                <w:highlight w:val="none"/>
              </w:rPr>
              <w:t>　</w:t>
            </w:r>
          </w:p>
        </w:tc>
        <w:tc>
          <w:tcPr>
            <w:tcW w:w="646" w:type="dxa"/>
            <w:shd w:val="clear" w:color="auto" w:fill="auto"/>
            <w:noWrap/>
            <w:vAlign w:val="center"/>
          </w:tcPr>
          <w:p>
            <w:pPr>
              <w:jc w:val="center"/>
              <w:rPr>
                <w:rFonts w:ascii="Times New Roman" w:hAnsi="Times New Roman" w:eastAsia="仿宋_GB2312"/>
                <w:color w:val="000000"/>
                <w:kern w:val="0"/>
                <w:highlight w:val="none"/>
              </w:rPr>
            </w:pPr>
            <w:r>
              <w:rPr>
                <w:rFonts w:hint="eastAsia" w:ascii="Times New Roman" w:hAnsi="Times New Roman" w:eastAsia="仿宋_GB2312"/>
                <w:color w:val="000000"/>
                <w:kern w:val="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14</w:t>
            </w:r>
          </w:p>
        </w:tc>
        <w:tc>
          <w:tcPr>
            <w:tcW w:w="2860" w:type="dxa"/>
            <w:gridSpan w:val="2"/>
            <w:shd w:val="clear" w:color="auto" w:fill="auto"/>
            <w:vAlign w:val="center"/>
          </w:tcPr>
          <w:p>
            <w:pPr>
              <w:jc w:val="left"/>
              <w:rPr>
                <w:rFonts w:ascii="Times New Roman" w:hAnsi="Times New Roman" w:eastAsia="仿宋_GB2312"/>
                <w:color w:val="000000"/>
                <w:kern w:val="0"/>
              </w:rPr>
            </w:pPr>
            <w:r>
              <w:rPr>
                <w:rFonts w:hint="eastAsia" w:ascii="Times New Roman" w:hAnsi="Times New Roman" w:eastAsia="仿宋_GB2312"/>
                <w:color w:val="000000"/>
                <w:kern w:val="0"/>
              </w:rPr>
              <w:t>互联网普及率（</w:t>
            </w:r>
            <w:r>
              <w:rPr>
                <w:rFonts w:ascii="Times New Roman" w:hAnsi="Times New Roman" w:eastAsia="仿宋_GB2312"/>
                <w:color w:val="000000"/>
                <w:kern w:val="0"/>
              </w:rPr>
              <w:t>%</w:t>
            </w:r>
            <w:r>
              <w:rPr>
                <w:rFonts w:hint="eastAsia" w:ascii="Times New Roman" w:hAnsi="Times New Roman" w:eastAsia="仿宋_GB2312"/>
                <w:color w:val="000000"/>
                <w:kern w:val="0"/>
              </w:rPr>
              <w:t>）</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预期性</w:t>
            </w:r>
          </w:p>
        </w:tc>
        <w:tc>
          <w:tcPr>
            <w:tcW w:w="993"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90</w:t>
            </w:r>
          </w:p>
        </w:tc>
        <w:tc>
          <w:tcPr>
            <w:tcW w:w="850"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4.2</w:t>
            </w:r>
          </w:p>
        </w:tc>
        <w:tc>
          <w:tcPr>
            <w:tcW w:w="709"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646"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restart"/>
            <w:shd w:val="clear" w:color="auto" w:fill="auto"/>
            <w:vAlign w:val="center"/>
          </w:tcPr>
          <w:p>
            <w:pPr>
              <w:jc w:val="left"/>
              <w:rPr>
                <w:rFonts w:ascii="Times New Roman" w:hAnsi="Times New Roman" w:eastAsia="仿宋_GB2312"/>
                <w:b/>
                <w:bCs/>
                <w:color w:val="000000"/>
                <w:kern w:val="0"/>
              </w:rPr>
            </w:pPr>
            <w:r>
              <w:rPr>
                <w:rFonts w:hint="eastAsia" w:ascii="Times New Roman" w:hAnsi="Times New Roman" w:eastAsia="仿宋_GB2312"/>
                <w:b/>
                <w:bCs/>
                <w:color w:val="000000"/>
                <w:kern w:val="0"/>
              </w:rPr>
              <w:t>三、生态文明</w:t>
            </w:r>
          </w:p>
        </w:tc>
        <w:tc>
          <w:tcPr>
            <w:tcW w:w="492"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15</w:t>
            </w:r>
          </w:p>
        </w:tc>
        <w:tc>
          <w:tcPr>
            <w:tcW w:w="2860" w:type="dxa"/>
            <w:gridSpan w:val="2"/>
            <w:shd w:val="clear" w:color="auto" w:fill="auto"/>
            <w:vAlign w:val="center"/>
          </w:tcPr>
          <w:p>
            <w:pPr>
              <w:jc w:val="left"/>
              <w:rPr>
                <w:rFonts w:ascii="Times New Roman" w:hAnsi="Times New Roman" w:eastAsia="仿宋_GB2312"/>
                <w:color w:val="000000"/>
                <w:kern w:val="0"/>
              </w:rPr>
            </w:pPr>
            <w:r>
              <w:rPr>
                <w:rFonts w:hint="eastAsia" w:ascii="Times New Roman" w:hAnsi="Times New Roman" w:eastAsia="仿宋_GB2312"/>
                <w:color w:val="000000"/>
                <w:kern w:val="0"/>
              </w:rPr>
              <w:t>耕地保有量（公顷）</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约束性</w:t>
            </w:r>
          </w:p>
        </w:tc>
        <w:tc>
          <w:tcPr>
            <w:tcW w:w="993"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101473.64</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709"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646"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16</w:t>
            </w:r>
          </w:p>
        </w:tc>
        <w:tc>
          <w:tcPr>
            <w:tcW w:w="2860" w:type="dxa"/>
            <w:gridSpan w:val="2"/>
            <w:shd w:val="clear" w:color="auto" w:fill="auto"/>
            <w:vAlign w:val="center"/>
          </w:tcPr>
          <w:p>
            <w:pPr>
              <w:jc w:val="left"/>
              <w:rPr>
                <w:rFonts w:ascii="Times New Roman" w:hAnsi="Times New Roman" w:eastAsia="仿宋_GB2312"/>
                <w:color w:val="000000"/>
                <w:kern w:val="0"/>
              </w:rPr>
            </w:pPr>
            <w:r>
              <w:rPr>
                <w:rFonts w:hint="eastAsia" w:ascii="Times New Roman" w:hAnsi="Times New Roman" w:eastAsia="仿宋_GB2312"/>
                <w:color w:val="000000"/>
                <w:kern w:val="0"/>
              </w:rPr>
              <w:t>基本农田保护面积（公顷）</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约束性</w:t>
            </w:r>
          </w:p>
        </w:tc>
        <w:tc>
          <w:tcPr>
            <w:tcW w:w="993"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87993.01</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709"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646"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17</w:t>
            </w:r>
          </w:p>
        </w:tc>
        <w:tc>
          <w:tcPr>
            <w:tcW w:w="2860" w:type="dxa"/>
            <w:gridSpan w:val="2"/>
            <w:shd w:val="clear" w:color="auto" w:fill="auto"/>
            <w:vAlign w:val="center"/>
          </w:tcPr>
          <w:p>
            <w:pPr>
              <w:jc w:val="left"/>
              <w:rPr>
                <w:rFonts w:ascii="Times New Roman" w:hAnsi="Times New Roman" w:eastAsia="仿宋_GB2312"/>
                <w:color w:val="000000"/>
                <w:kern w:val="0"/>
              </w:rPr>
            </w:pPr>
            <w:r>
              <w:rPr>
                <w:rFonts w:hint="eastAsia" w:ascii="Times New Roman" w:hAnsi="Times New Roman" w:eastAsia="仿宋_GB2312"/>
                <w:color w:val="000000"/>
                <w:kern w:val="0"/>
              </w:rPr>
              <w:t>万元生产总值能耗下降率</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约束性</w:t>
            </w:r>
          </w:p>
        </w:tc>
        <w:tc>
          <w:tcPr>
            <w:tcW w:w="993"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完成省下达目标</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709"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646"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18</w:t>
            </w:r>
          </w:p>
        </w:tc>
        <w:tc>
          <w:tcPr>
            <w:tcW w:w="2860" w:type="dxa"/>
            <w:gridSpan w:val="2"/>
            <w:shd w:val="clear" w:color="auto" w:fill="auto"/>
            <w:vAlign w:val="center"/>
          </w:tcPr>
          <w:p>
            <w:pPr>
              <w:jc w:val="left"/>
              <w:rPr>
                <w:rFonts w:ascii="Times New Roman" w:hAnsi="Times New Roman" w:eastAsia="仿宋_GB2312"/>
                <w:color w:val="000000"/>
                <w:kern w:val="0"/>
              </w:rPr>
            </w:pPr>
            <w:r>
              <w:rPr>
                <w:rFonts w:hint="eastAsia" w:ascii="Times New Roman" w:hAnsi="Times New Roman" w:eastAsia="仿宋_GB2312"/>
                <w:color w:val="000000"/>
                <w:kern w:val="0"/>
              </w:rPr>
              <w:t>万元</w:t>
            </w:r>
            <w:r>
              <w:rPr>
                <w:rFonts w:ascii="Times New Roman" w:hAnsi="Times New Roman" w:eastAsia="仿宋_GB2312"/>
                <w:color w:val="000000"/>
                <w:kern w:val="0"/>
              </w:rPr>
              <w:t>GDP</w:t>
            </w:r>
            <w:r>
              <w:rPr>
                <w:rFonts w:hint="eastAsia" w:ascii="Times New Roman" w:hAnsi="Times New Roman" w:eastAsia="仿宋_GB2312"/>
                <w:color w:val="000000"/>
                <w:kern w:val="0"/>
              </w:rPr>
              <w:t>用水量（立方米）</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约束性</w:t>
            </w:r>
          </w:p>
        </w:tc>
        <w:tc>
          <w:tcPr>
            <w:tcW w:w="993"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完成省下达目标</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709"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4</w:t>
            </w:r>
            <w:r>
              <w:rPr>
                <w:rFonts w:ascii="Times New Roman" w:hAnsi="Times New Roman" w:eastAsia="仿宋_GB2312"/>
                <w:color w:val="000000"/>
                <w:kern w:val="0"/>
              </w:rPr>
              <w:t>7.6</w:t>
            </w:r>
            <w:r>
              <w:rPr>
                <w:rFonts w:hint="eastAsia" w:ascii="Times New Roman" w:hAnsi="Times New Roman" w:eastAsia="仿宋_GB2312"/>
                <w:color w:val="000000"/>
                <w:kern w:val="0"/>
              </w:rPr>
              <w:t>　</w:t>
            </w:r>
          </w:p>
        </w:tc>
        <w:tc>
          <w:tcPr>
            <w:tcW w:w="646"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w:t>
            </w:r>
            <w:r>
              <w:rPr>
                <w:rFonts w:ascii="Times New Roman" w:hAnsi="Times New Roman" w:eastAsia="仿宋_GB2312"/>
                <w:color w:val="000000"/>
                <w:kern w:val="0"/>
              </w:rPr>
              <w:t>4.34</w:t>
            </w:r>
            <w:r>
              <w:rPr>
                <w:rFonts w:hint="eastAsia"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19</w:t>
            </w:r>
          </w:p>
        </w:tc>
        <w:tc>
          <w:tcPr>
            <w:tcW w:w="2860" w:type="dxa"/>
            <w:gridSpan w:val="2"/>
            <w:shd w:val="clear" w:color="auto" w:fill="auto"/>
            <w:vAlign w:val="center"/>
          </w:tcPr>
          <w:p>
            <w:pPr>
              <w:jc w:val="left"/>
              <w:rPr>
                <w:rFonts w:ascii="Times New Roman" w:hAnsi="Times New Roman" w:eastAsia="仿宋_GB2312"/>
                <w:color w:val="000000"/>
                <w:kern w:val="0"/>
              </w:rPr>
            </w:pPr>
            <w:r>
              <w:rPr>
                <w:rFonts w:hint="eastAsia" w:ascii="Times New Roman" w:hAnsi="Times New Roman" w:eastAsia="仿宋_GB2312"/>
                <w:color w:val="000000"/>
                <w:kern w:val="0"/>
              </w:rPr>
              <w:t>万元生产总值二氧化碳排放降低（</w:t>
            </w:r>
            <w:r>
              <w:rPr>
                <w:rFonts w:ascii="Times New Roman" w:hAnsi="Times New Roman" w:eastAsia="仿宋_GB2312"/>
                <w:color w:val="000000"/>
                <w:kern w:val="0"/>
              </w:rPr>
              <w:t>%</w:t>
            </w:r>
            <w:r>
              <w:rPr>
                <w:rFonts w:hint="eastAsia" w:ascii="Times New Roman" w:hAnsi="Times New Roman" w:eastAsia="仿宋_GB2312"/>
                <w:color w:val="000000"/>
                <w:kern w:val="0"/>
              </w:rPr>
              <w:t>）</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约束性</w:t>
            </w:r>
          </w:p>
        </w:tc>
        <w:tc>
          <w:tcPr>
            <w:tcW w:w="993"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完成省下达目标</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709"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646"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20</w:t>
            </w:r>
          </w:p>
        </w:tc>
        <w:tc>
          <w:tcPr>
            <w:tcW w:w="2860" w:type="dxa"/>
            <w:gridSpan w:val="2"/>
            <w:shd w:val="clear" w:color="auto" w:fill="auto"/>
            <w:vAlign w:val="center"/>
          </w:tcPr>
          <w:p>
            <w:pPr>
              <w:jc w:val="left"/>
              <w:rPr>
                <w:rFonts w:ascii="Times New Roman" w:hAnsi="Times New Roman" w:eastAsia="仿宋_GB2312"/>
                <w:color w:val="000000"/>
                <w:kern w:val="0"/>
              </w:rPr>
            </w:pPr>
            <w:r>
              <w:rPr>
                <w:rFonts w:hint="eastAsia" w:ascii="Times New Roman" w:hAnsi="Times New Roman" w:eastAsia="仿宋_GB2312"/>
                <w:color w:val="000000"/>
                <w:kern w:val="0"/>
              </w:rPr>
              <w:t>二氧化硫排放量（万吨）</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约束性</w:t>
            </w:r>
          </w:p>
        </w:tc>
        <w:tc>
          <w:tcPr>
            <w:tcW w:w="993"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完成省下达目标</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709"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646"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21</w:t>
            </w:r>
          </w:p>
        </w:tc>
        <w:tc>
          <w:tcPr>
            <w:tcW w:w="2860" w:type="dxa"/>
            <w:gridSpan w:val="2"/>
            <w:shd w:val="clear" w:color="auto" w:fill="auto"/>
            <w:vAlign w:val="center"/>
          </w:tcPr>
          <w:p>
            <w:pPr>
              <w:jc w:val="left"/>
              <w:rPr>
                <w:rFonts w:ascii="Times New Roman" w:hAnsi="Times New Roman" w:eastAsia="仿宋_GB2312"/>
                <w:color w:val="000000"/>
                <w:kern w:val="0"/>
              </w:rPr>
            </w:pPr>
            <w:r>
              <w:rPr>
                <w:rFonts w:hint="eastAsia" w:ascii="Times New Roman" w:hAnsi="Times New Roman" w:eastAsia="仿宋_GB2312"/>
                <w:color w:val="000000"/>
                <w:kern w:val="0"/>
              </w:rPr>
              <w:t>化学需氧量排放量（万吨）</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约束性</w:t>
            </w:r>
          </w:p>
        </w:tc>
        <w:tc>
          <w:tcPr>
            <w:tcW w:w="993"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完成省下达目标</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709"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646"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22</w:t>
            </w:r>
          </w:p>
        </w:tc>
        <w:tc>
          <w:tcPr>
            <w:tcW w:w="2860" w:type="dxa"/>
            <w:gridSpan w:val="2"/>
            <w:shd w:val="clear" w:color="auto" w:fill="auto"/>
            <w:vAlign w:val="center"/>
          </w:tcPr>
          <w:p>
            <w:pPr>
              <w:jc w:val="left"/>
              <w:rPr>
                <w:rFonts w:ascii="Times New Roman" w:hAnsi="Times New Roman" w:eastAsia="仿宋_GB2312"/>
                <w:color w:val="000000"/>
                <w:kern w:val="0"/>
              </w:rPr>
            </w:pPr>
            <w:r>
              <w:rPr>
                <w:rFonts w:hint="eastAsia" w:ascii="Times New Roman" w:hAnsi="Times New Roman" w:eastAsia="仿宋_GB2312"/>
                <w:color w:val="000000"/>
                <w:kern w:val="0"/>
              </w:rPr>
              <w:t>空气质量达标率（</w:t>
            </w:r>
            <w:r>
              <w:rPr>
                <w:rFonts w:ascii="Times New Roman" w:hAnsi="Times New Roman" w:eastAsia="仿宋_GB2312"/>
                <w:color w:val="000000"/>
                <w:kern w:val="0"/>
              </w:rPr>
              <w:t>%</w:t>
            </w:r>
            <w:r>
              <w:rPr>
                <w:rFonts w:hint="eastAsia" w:ascii="Times New Roman" w:hAnsi="Times New Roman" w:eastAsia="仿宋_GB2312"/>
                <w:color w:val="000000"/>
                <w:kern w:val="0"/>
              </w:rPr>
              <w:t>）其中：细颗粒物（</w:t>
            </w:r>
            <w:r>
              <w:rPr>
                <w:rFonts w:ascii="Times New Roman" w:hAnsi="Times New Roman" w:eastAsia="仿宋_GB2312"/>
                <w:color w:val="000000"/>
                <w:kern w:val="0"/>
              </w:rPr>
              <w:t>PM2.5</w:t>
            </w:r>
            <w:r>
              <w:rPr>
                <w:rFonts w:hint="eastAsia" w:ascii="Times New Roman" w:hAnsi="Times New Roman" w:eastAsia="仿宋_GB2312"/>
                <w:color w:val="000000"/>
                <w:kern w:val="0"/>
              </w:rPr>
              <w:t>）浓度下降（</w:t>
            </w:r>
            <w:r>
              <w:rPr>
                <w:rFonts w:ascii="Times New Roman" w:hAnsi="Times New Roman" w:eastAsia="仿宋_GB2312"/>
                <w:color w:val="000000"/>
                <w:kern w:val="0"/>
              </w:rPr>
              <w:t>%</w:t>
            </w:r>
            <w:r>
              <w:rPr>
                <w:rFonts w:hint="eastAsia" w:ascii="Times New Roman" w:hAnsi="Times New Roman" w:eastAsia="仿宋_GB2312"/>
                <w:color w:val="000000"/>
                <w:kern w:val="0"/>
              </w:rPr>
              <w:t>）</w:t>
            </w:r>
          </w:p>
        </w:tc>
        <w:tc>
          <w:tcPr>
            <w:tcW w:w="850" w:type="dxa"/>
            <w:shd w:val="clear" w:color="auto" w:fill="auto"/>
            <w:vAlign w:val="center"/>
          </w:tcPr>
          <w:p>
            <w:pPr>
              <w:jc w:val="left"/>
              <w:rPr>
                <w:rFonts w:ascii="Times New Roman" w:hAnsi="Times New Roman" w:eastAsia="仿宋_GB2312"/>
                <w:color w:val="000000"/>
                <w:kern w:val="0"/>
              </w:rPr>
            </w:pPr>
            <w:r>
              <w:rPr>
                <w:rFonts w:hint="eastAsia" w:ascii="Times New Roman" w:hAnsi="Times New Roman" w:eastAsia="仿宋_GB2312"/>
                <w:color w:val="000000"/>
                <w:kern w:val="0"/>
              </w:rPr>
              <w:t>约束性</w:t>
            </w:r>
          </w:p>
        </w:tc>
        <w:tc>
          <w:tcPr>
            <w:tcW w:w="993"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完成省下达目标</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709"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646"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vMerge w:val="restart"/>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23</w:t>
            </w:r>
          </w:p>
        </w:tc>
        <w:tc>
          <w:tcPr>
            <w:tcW w:w="2860" w:type="dxa"/>
            <w:gridSpan w:val="2"/>
            <w:shd w:val="clear" w:color="auto" w:fill="auto"/>
            <w:vAlign w:val="center"/>
          </w:tcPr>
          <w:p>
            <w:pPr>
              <w:jc w:val="left"/>
              <w:rPr>
                <w:rFonts w:ascii="Times New Roman" w:hAnsi="Times New Roman" w:eastAsia="仿宋_GB2312"/>
                <w:color w:val="000000"/>
                <w:kern w:val="0"/>
              </w:rPr>
            </w:pPr>
            <w:r>
              <w:rPr>
                <w:rFonts w:hint="eastAsia" w:ascii="Times New Roman" w:hAnsi="Times New Roman" w:eastAsia="仿宋_GB2312"/>
                <w:color w:val="000000"/>
                <w:kern w:val="0"/>
              </w:rPr>
              <w:t>城市污水集中处理率</w:t>
            </w:r>
            <w:r>
              <w:rPr>
                <w:rFonts w:ascii="Times New Roman" w:hAnsi="Times New Roman" w:eastAsia="仿宋_GB2312"/>
                <w:color w:val="000000"/>
                <w:kern w:val="0"/>
              </w:rPr>
              <w:t>(%)</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约束性</w:t>
            </w:r>
          </w:p>
        </w:tc>
        <w:tc>
          <w:tcPr>
            <w:tcW w:w="993"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100%</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709"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646"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vMerge w:val="continue"/>
            <w:vAlign w:val="center"/>
          </w:tcPr>
          <w:p>
            <w:pPr>
              <w:jc w:val="left"/>
              <w:rPr>
                <w:rFonts w:ascii="Times New Roman" w:hAnsi="Times New Roman" w:eastAsia="仿宋_GB2312"/>
                <w:color w:val="000000"/>
                <w:kern w:val="0"/>
              </w:rPr>
            </w:pPr>
          </w:p>
        </w:tc>
        <w:tc>
          <w:tcPr>
            <w:tcW w:w="2860" w:type="dxa"/>
            <w:gridSpan w:val="2"/>
            <w:shd w:val="clear" w:color="auto" w:fill="auto"/>
            <w:vAlign w:val="center"/>
          </w:tcPr>
          <w:p>
            <w:pPr>
              <w:jc w:val="left"/>
              <w:rPr>
                <w:rFonts w:ascii="Times New Roman" w:hAnsi="Times New Roman" w:eastAsia="仿宋_GB2312"/>
                <w:color w:val="000000"/>
                <w:kern w:val="0"/>
              </w:rPr>
            </w:pPr>
            <w:r>
              <w:rPr>
                <w:rFonts w:hint="eastAsia" w:ascii="Times New Roman" w:hAnsi="Times New Roman" w:eastAsia="仿宋_GB2312"/>
                <w:color w:val="000000"/>
                <w:kern w:val="0"/>
              </w:rPr>
              <w:t>城市垃圾无害化处理率</w:t>
            </w:r>
            <w:r>
              <w:rPr>
                <w:rFonts w:ascii="Times New Roman" w:hAnsi="Times New Roman" w:eastAsia="仿宋_GB2312"/>
                <w:color w:val="000000"/>
                <w:kern w:val="0"/>
              </w:rPr>
              <w:t>(%)</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约束性</w:t>
            </w:r>
          </w:p>
        </w:tc>
        <w:tc>
          <w:tcPr>
            <w:tcW w:w="993"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100%</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709"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646"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vMerge w:val="continue"/>
            <w:vAlign w:val="center"/>
          </w:tcPr>
          <w:p>
            <w:pPr>
              <w:jc w:val="left"/>
              <w:rPr>
                <w:rFonts w:ascii="Times New Roman" w:hAnsi="Times New Roman" w:eastAsia="仿宋_GB2312"/>
                <w:color w:val="000000"/>
                <w:kern w:val="0"/>
              </w:rPr>
            </w:pPr>
          </w:p>
        </w:tc>
        <w:tc>
          <w:tcPr>
            <w:tcW w:w="2860" w:type="dxa"/>
            <w:gridSpan w:val="2"/>
            <w:shd w:val="clear" w:color="auto" w:fill="auto"/>
            <w:vAlign w:val="center"/>
          </w:tcPr>
          <w:p>
            <w:pPr>
              <w:jc w:val="left"/>
              <w:rPr>
                <w:rFonts w:ascii="Times New Roman" w:hAnsi="Times New Roman" w:eastAsia="仿宋_GB2312"/>
                <w:color w:val="000000"/>
                <w:kern w:val="0"/>
              </w:rPr>
            </w:pPr>
            <w:r>
              <w:rPr>
                <w:rFonts w:hint="eastAsia" w:ascii="Times New Roman" w:hAnsi="Times New Roman" w:eastAsia="仿宋_GB2312"/>
                <w:color w:val="000000"/>
                <w:kern w:val="0"/>
              </w:rPr>
              <w:t>森林覆盖率</w:t>
            </w:r>
            <w:r>
              <w:rPr>
                <w:rFonts w:ascii="Times New Roman" w:hAnsi="Times New Roman" w:eastAsia="仿宋_GB2312"/>
                <w:color w:val="000000"/>
                <w:kern w:val="0"/>
              </w:rPr>
              <w:t>(%)</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约束性</w:t>
            </w:r>
          </w:p>
        </w:tc>
        <w:tc>
          <w:tcPr>
            <w:tcW w:w="993"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25</w:t>
            </w:r>
          </w:p>
        </w:tc>
        <w:tc>
          <w:tcPr>
            <w:tcW w:w="850"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0.50%</w:t>
            </w:r>
          </w:p>
        </w:tc>
        <w:tc>
          <w:tcPr>
            <w:tcW w:w="709"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646"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restart"/>
            <w:shd w:val="clear" w:color="auto" w:fill="auto"/>
            <w:vAlign w:val="center"/>
          </w:tcPr>
          <w:p>
            <w:pPr>
              <w:jc w:val="left"/>
              <w:rPr>
                <w:rFonts w:ascii="Times New Roman" w:hAnsi="Times New Roman" w:eastAsia="仿宋_GB2312"/>
                <w:b/>
                <w:bCs/>
                <w:color w:val="000000"/>
                <w:kern w:val="0"/>
              </w:rPr>
            </w:pPr>
            <w:r>
              <w:rPr>
                <w:rFonts w:hint="eastAsia" w:ascii="Times New Roman" w:hAnsi="Times New Roman" w:eastAsia="仿宋_GB2312"/>
                <w:b/>
                <w:bCs/>
                <w:color w:val="000000"/>
                <w:kern w:val="0"/>
              </w:rPr>
              <w:t>四、民生福祉</w:t>
            </w:r>
          </w:p>
        </w:tc>
        <w:tc>
          <w:tcPr>
            <w:tcW w:w="492"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24</w:t>
            </w:r>
          </w:p>
        </w:tc>
        <w:tc>
          <w:tcPr>
            <w:tcW w:w="2860" w:type="dxa"/>
            <w:gridSpan w:val="2"/>
            <w:shd w:val="clear" w:color="auto" w:fill="auto"/>
            <w:vAlign w:val="center"/>
          </w:tcPr>
          <w:p>
            <w:pPr>
              <w:jc w:val="left"/>
              <w:rPr>
                <w:rFonts w:ascii="Times New Roman" w:hAnsi="Times New Roman" w:eastAsia="仿宋_GB2312"/>
                <w:color w:val="000000"/>
                <w:kern w:val="0"/>
              </w:rPr>
            </w:pPr>
            <w:r>
              <w:rPr>
                <w:rFonts w:hint="eastAsia" w:ascii="Times New Roman" w:hAnsi="Times New Roman" w:eastAsia="仿宋_GB2312"/>
                <w:color w:val="000000"/>
                <w:kern w:val="0"/>
              </w:rPr>
              <w:t>城镇居民人均可支配收入</w:t>
            </w:r>
            <w:r>
              <w:rPr>
                <w:rFonts w:ascii="Times New Roman" w:hAnsi="Times New Roman" w:eastAsia="仿宋_GB2312"/>
                <w:color w:val="000000"/>
                <w:kern w:val="0"/>
              </w:rPr>
              <w:t>(</w:t>
            </w:r>
            <w:r>
              <w:rPr>
                <w:rFonts w:hint="eastAsia" w:ascii="Times New Roman" w:hAnsi="Times New Roman" w:eastAsia="仿宋_GB2312"/>
                <w:color w:val="000000"/>
                <w:kern w:val="0"/>
              </w:rPr>
              <w:t>元</w:t>
            </w:r>
            <w:r>
              <w:rPr>
                <w:rFonts w:ascii="Times New Roman" w:hAnsi="Times New Roman" w:eastAsia="仿宋_GB2312"/>
                <w:color w:val="000000"/>
                <w:kern w:val="0"/>
              </w:rPr>
              <w:t>)</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预期性</w:t>
            </w:r>
          </w:p>
        </w:tc>
        <w:tc>
          <w:tcPr>
            <w:tcW w:w="993"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36000</w:t>
            </w:r>
          </w:p>
        </w:tc>
        <w:tc>
          <w:tcPr>
            <w:tcW w:w="850"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9.5</w:t>
            </w:r>
            <w:r>
              <w:rPr>
                <w:rFonts w:hint="eastAsia" w:ascii="Times New Roman" w:hAnsi="Times New Roman" w:eastAsia="仿宋_GB2312"/>
                <w:color w:val="000000"/>
                <w:kern w:val="0"/>
              </w:rPr>
              <w:t>左右</w:t>
            </w:r>
          </w:p>
        </w:tc>
        <w:tc>
          <w:tcPr>
            <w:tcW w:w="709" w:type="dxa"/>
            <w:shd w:val="clear" w:color="auto" w:fill="auto"/>
            <w:noWrap/>
            <w:vAlign w:val="center"/>
          </w:tcPr>
          <w:p>
            <w:pPr>
              <w:jc w:val="center"/>
              <w:rPr>
                <w:rFonts w:hint="default" w:ascii="Times New Roman" w:hAnsi="Times New Roman" w:eastAsia="仿宋_GB2312"/>
                <w:color w:val="000000"/>
                <w:kern w:val="0"/>
                <w:highlight w:val="none"/>
                <w:lang w:val="en-US" w:eastAsia="zh-CN"/>
              </w:rPr>
            </w:pPr>
            <w:r>
              <w:rPr>
                <w:rFonts w:hint="eastAsia" w:ascii="Times New Roman" w:hAnsi="Times New Roman" w:eastAsia="仿宋_GB2312"/>
                <w:color w:val="000000"/>
                <w:kern w:val="0"/>
                <w:highlight w:val="none"/>
              </w:rPr>
              <w:t>32</w:t>
            </w:r>
            <w:r>
              <w:rPr>
                <w:rFonts w:hint="eastAsia" w:ascii="Times New Roman" w:hAnsi="Times New Roman" w:eastAsia="仿宋_GB2312"/>
                <w:color w:val="000000"/>
                <w:kern w:val="0"/>
                <w:highlight w:val="none"/>
                <w:lang w:val="en-US" w:eastAsia="zh-CN"/>
              </w:rPr>
              <w:t>487</w:t>
            </w:r>
          </w:p>
        </w:tc>
        <w:tc>
          <w:tcPr>
            <w:tcW w:w="646" w:type="dxa"/>
            <w:shd w:val="clear" w:color="auto" w:fill="auto"/>
            <w:noWrap/>
            <w:vAlign w:val="center"/>
          </w:tcPr>
          <w:p>
            <w:pPr>
              <w:jc w:val="center"/>
              <w:rPr>
                <w:rFonts w:hint="eastAsia" w:ascii="Times New Roman" w:hAnsi="Times New Roman" w:eastAsia="仿宋_GB2312"/>
                <w:color w:val="000000"/>
                <w:kern w:val="0"/>
                <w:highlight w:val="none"/>
                <w:lang w:val="en-US" w:eastAsia="zh-CN"/>
              </w:rPr>
            </w:pPr>
            <w:r>
              <w:rPr>
                <w:rFonts w:hint="eastAsia" w:ascii="Times New Roman" w:hAnsi="Times New Roman" w:eastAsia="仿宋_GB2312"/>
                <w:color w:val="000000"/>
                <w:kern w:val="0"/>
                <w:highlight w:val="none"/>
              </w:rPr>
              <w:t>7.</w:t>
            </w:r>
            <w:r>
              <w:rPr>
                <w:rFonts w:hint="eastAsia" w:ascii="Times New Roman" w:hAnsi="Times New Roman" w:eastAsia="仿宋_GB2312"/>
                <w:color w:val="000000"/>
                <w:kern w:val="0"/>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25</w:t>
            </w:r>
          </w:p>
        </w:tc>
        <w:tc>
          <w:tcPr>
            <w:tcW w:w="2860" w:type="dxa"/>
            <w:gridSpan w:val="2"/>
            <w:shd w:val="clear" w:color="auto" w:fill="auto"/>
            <w:vAlign w:val="center"/>
          </w:tcPr>
          <w:p>
            <w:pPr>
              <w:jc w:val="left"/>
              <w:rPr>
                <w:rFonts w:ascii="Times New Roman" w:hAnsi="Times New Roman" w:eastAsia="仿宋_GB2312"/>
                <w:color w:val="000000"/>
                <w:kern w:val="0"/>
              </w:rPr>
            </w:pPr>
            <w:r>
              <w:rPr>
                <w:rFonts w:hint="eastAsia" w:ascii="Times New Roman" w:hAnsi="Times New Roman" w:eastAsia="仿宋_GB2312"/>
                <w:color w:val="000000"/>
                <w:kern w:val="0"/>
              </w:rPr>
              <w:t>农村居民人均可支配收入</w:t>
            </w:r>
            <w:r>
              <w:rPr>
                <w:rFonts w:ascii="Times New Roman" w:hAnsi="Times New Roman" w:eastAsia="仿宋_GB2312"/>
                <w:color w:val="000000"/>
                <w:kern w:val="0"/>
              </w:rPr>
              <w:t>(</w:t>
            </w:r>
            <w:r>
              <w:rPr>
                <w:rFonts w:hint="eastAsia" w:ascii="Times New Roman" w:hAnsi="Times New Roman" w:eastAsia="仿宋_GB2312"/>
                <w:color w:val="000000"/>
                <w:kern w:val="0"/>
              </w:rPr>
              <w:t>元</w:t>
            </w:r>
            <w:r>
              <w:rPr>
                <w:rFonts w:ascii="Times New Roman" w:hAnsi="Times New Roman" w:eastAsia="仿宋_GB2312"/>
                <w:color w:val="000000"/>
                <w:kern w:val="0"/>
              </w:rPr>
              <w:t>)</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预期性</w:t>
            </w:r>
          </w:p>
        </w:tc>
        <w:tc>
          <w:tcPr>
            <w:tcW w:w="993"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13929</w:t>
            </w:r>
          </w:p>
        </w:tc>
        <w:tc>
          <w:tcPr>
            <w:tcW w:w="850"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9.5</w:t>
            </w:r>
            <w:r>
              <w:rPr>
                <w:rFonts w:hint="eastAsia" w:ascii="Times New Roman" w:hAnsi="Times New Roman" w:eastAsia="仿宋_GB2312"/>
                <w:color w:val="000000"/>
                <w:kern w:val="0"/>
              </w:rPr>
              <w:t>左右</w:t>
            </w:r>
          </w:p>
        </w:tc>
        <w:tc>
          <w:tcPr>
            <w:tcW w:w="709" w:type="dxa"/>
            <w:shd w:val="clear" w:color="auto" w:fill="auto"/>
            <w:noWrap/>
            <w:vAlign w:val="center"/>
          </w:tcPr>
          <w:p>
            <w:pPr>
              <w:jc w:val="center"/>
              <w:rPr>
                <w:rFonts w:hint="default" w:ascii="Times New Roman" w:hAnsi="Times New Roman" w:eastAsia="仿宋_GB2312"/>
                <w:color w:val="000000"/>
                <w:kern w:val="0"/>
                <w:highlight w:val="none"/>
                <w:lang w:val="en-US" w:eastAsia="zh-CN"/>
              </w:rPr>
            </w:pPr>
            <w:r>
              <w:rPr>
                <w:rFonts w:hint="eastAsia" w:ascii="Times New Roman" w:hAnsi="Times New Roman" w:eastAsia="仿宋_GB2312"/>
                <w:color w:val="000000"/>
                <w:kern w:val="0"/>
                <w:highlight w:val="none"/>
              </w:rPr>
              <w:t>13</w:t>
            </w:r>
            <w:r>
              <w:rPr>
                <w:rFonts w:hint="eastAsia" w:ascii="Times New Roman" w:hAnsi="Times New Roman" w:eastAsia="仿宋_GB2312"/>
                <w:color w:val="000000"/>
                <w:kern w:val="0"/>
                <w:highlight w:val="none"/>
                <w:lang w:val="en-US" w:eastAsia="zh-CN"/>
              </w:rPr>
              <w:t>589</w:t>
            </w:r>
          </w:p>
        </w:tc>
        <w:tc>
          <w:tcPr>
            <w:tcW w:w="646" w:type="dxa"/>
            <w:shd w:val="clear" w:color="auto" w:fill="auto"/>
            <w:noWrap/>
            <w:vAlign w:val="center"/>
          </w:tcPr>
          <w:p>
            <w:pPr>
              <w:jc w:val="center"/>
              <w:rPr>
                <w:rFonts w:hint="default" w:ascii="Times New Roman" w:hAnsi="Times New Roman" w:eastAsia="仿宋_GB2312"/>
                <w:color w:val="000000"/>
                <w:kern w:val="0"/>
                <w:highlight w:val="none"/>
                <w:lang w:val="en-US" w:eastAsia="zh-CN"/>
              </w:rPr>
            </w:pPr>
            <w:r>
              <w:rPr>
                <w:rFonts w:hint="eastAsia" w:ascii="Times New Roman" w:hAnsi="Times New Roman" w:eastAsia="仿宋_GB2312"/>
                <w:color w:val="000000"/>
                <w:kern w:val="0"/>
                <w:highlight w:val="none"/>
                <w:lang w:val="en-US" w:eastAsia="zh-CN"/>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26</w:t>
            </w:r>
          </w:p>
        </w:tc>
        <w:tc>
          <w:tcPr>
            <w:tcW w:w="2860" w:type="dxa"/>
            <w:gridSpan w:val="2"/>
            <w:shd w:val="clear" w:color="auto" w:fill="auto"/>
            <w:vAlign w:val="center"/>
          </w:tcPr>
          <w:p>
            <w:pPr>
              <w:jc w:val="left"/>
              <w:rPr>
                <w:rFonts w:ascii="Times New Roman" w:hAnsi="Times New Roman" w:eastAsia="仿宋_GB2312"/>
                <w:color w:val="000000"/>
                <w:kern w:val="0"/>
              </w:rPr>
            </w:pPr>
            <w:r>
              <w:rPr>
                <w:rFonts w:hint="eastAsia" w:ascii="Times New Roman" w:hAnsi="Times New Roman" w:eastAsia="仿宋_GB2312"/>
                <w:color w:val="000000"/>
                <w:kern w:val="0"/>
              </w:rPr>
              <w:t>贫困发生率（</w:t>
            </w:r>
            <w:r>
              <w:rPr>
                <w:rFonts w:ascii="Times New Roman" w:hAnsi="Times New Roman" w:eastAsia="仿宋_GB2312"/>
                <w:color w:val="000000"/>
                <w:kern w:val="0"/>
              </w:rPr>
              <w:t>%</w:t>
            </w:r>
            <w:r>
              <w:rPr>
                <w:rFonts w:hint="eastAsia" w:ascii="Times New Roman" w:hAnsi="Times New Roman" w:eastAsia="仿宋_GB2312"/>
                <w:color w:val="000000"/>
                <w:kern w:val="0"/>
              </w:rPr>
              <w:t>）</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预期性</w:t>
            </w:r>
          </w:p>
        </w:tc>
        <w:tc>
          <w:tcPr>
            <w:tcW w:w="993"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w:t>
            </w:r>
            <w:r>
              <w:rPr>
                <w:rFonts w:ascii="Times New Roman" w:hAnsi="Times New Roman" w:eastAsia="仿宋_GB2312"/>
                <w:color w:val="000000"/>
                <w:kern w:val="0"/>
              </w:rPr>
              <w:t>0.5</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709"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646"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27</w:t>
            </w:r>
          </w:p>
        </w:tc>
        <w:tc>
          <w:tcPr>
            <w:tcW w:w="2860" w:type="dxa"/>
            <w:gridSpan w:val="2"/>
            <w:shd w:val="clear" w:color="auto" w:fill="auto"/>
            <w:vAlign w:val="center"/>
          </w:tcPr>
          <w:p>
            <w:pPr>
              <w:jc w:val="left"/>
              <w:rPr>
                <w:rFonts w:ascii="Times New Roman" w:hAnsi="Times New Roman" w:eastAsia="仿宋_GB2312"/>
                <w:color w:val="000000"/>
                <w:kern w:val="0"/>
              </w:rPr>
            </w:pPr>
            <w:r>
              <w:rPr>
                <w:rFonts w:hint="eastAsia" w:ascii="Times New Roman" w:hAnsi="Times New Roman" w:eastAsia="仿宋_GB2312"/>
                <w:color w:val="000000"/>
                <w:kern w:val="0"/>
              </w:rPr>
              <w:t>五年新增城镇就业人数</w:t>
            </w:r>
            <w:r>
              <w:rPr>
                <w:rFonts w:ascii="Times New Roman" w:hAnsi="Times New Roman" w:eastAsia="仿宋_GB2312"/>
                <w:color w:val="000000"/>
                <w:kern w:val="0"/>
              </w:rPr>
              <w:t>(</w:t>
            </w:r>
            <w:r>
              <w:rPr>
                <w:rFonts w:hint="eastAsia" w:ascii="Times New Roman" w:hAnsi="Times New Roman" w:eastAsia="仿宋_GB2312"/>
                <w:color w:val="000000"/>
                <w:kern w:val="0"/>
              </w:rPr>
              <w:t>万人</w:t>
            </w:r>
            <w:r>
              <w:rPr>
                <w:rFonts w:ascii="Times New Roman" w:hAnsi="Times New Roman" w:eastAsia="仿宋_GB2312"/>
                <w:color w:val="000000"/>
                <w:kern w:val="0"/>
              </w:rPr>
              <w:t>)</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预期性</w:t>
            </w:r>
          </w:p>
        </w:tc>
        <w:tc>
          <w:tcPr>
            <w:tcW w:w="993"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3.5</w:t>
            </w:r>
            <w:r>
              <w:rPr>
                <w:rFonts w:hint="eastAsia" w:ascii="Times New Roman" w:hAnsi="Times New Roman" w:eastAsia="仿宋_GB2312"/>
                <w:color w:val="000000"/>
                <w:kern w:val="0"/>
              </w:rPr>
              <w:t>万人</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709"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646"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28</w:t>
            </w:r>
          </w:p>
        </w:tc>
        <w:tc>
          <w:tcPr>
            <w:tcW w:w="2860" w:type="dxa"/>
            <w:gridSpan w:val="2"/>
            <w:shd w:val="clear" w:color="auto" w:fill="auto"/>
            <w:vAlign w:val="center"/>
          </w:tcPr>
          <w:p>
            <w:pPr>
              <w:jc w:val="left"/>
              <w:rPr>
                <w:rFonts w:ascii="Times New Roman" w:hAnsi="Times New Roman" w:eastAsia="仿宋_GB2312"/>
                <w:color w:val="000000"/>
                <w:kern w:val="0"/>
              </w:rPr>
            </w:pPr>
            <w:r>
              <w:rPr>
                <w:rFonts w:hint="eastAsia" w:ascii="Times New Roman" w:hAnsi="Times New Roman" w:eastAsia="仿宋_GB2312"/>
                <w:color w:val="000000"/>
                <w:kern w:val="0"/>
              </w:rPr>
              <w:t>城镇登记失业率（</w:t>
            </w:r>
            <w:r>
              <w:rPr>
                <w:rFonts w:ascii="Times New Roman" w:hAnsi="Times New Roman" w:eastAsia="仿宋_GB2312"/>
                <w:color w:val="000000"/>
                <w:kern w:val="0"/>
              </w:rPr>
              <w:t>%</w:t>
            </w:r>
            <w:r>
              <w:rPr>
                <w:rFonts w:hint="eastAsia" w:ascii="Times New Roman" w:hAnsi="Times New Roman" w:eastAsia="仿宋_GB2312"/>
                <w:color w:val="000000"/>
                <w:kern w:val="0"/>
              </w:rPr>
              <w:t>）</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预期性</w:t>
            </w:r>
          </w:p>
        </w:tc>
        <w:tc>
          <w:tcPr>
            <w:tcW w:w="993"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4.5</w:t>
            </w:r>
            <w:r>
              <w:rPr>
                <w:rFonts w:hint="eastAsia" w:ascii="Times New Roman" w:hAnsi="Times New Roman" w:eastAsia="仿宋_GB2312"/>
                <w:color w:val="000000"/>
                <w:kern w:val="0"/>
              </w:rPr>
              <w:t>以下</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709"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4</w:t>
            </w:r>
            <w:r>
              <w:rPr>
                <w:rFonts w:ascii="Times New Roman" w:hAnsi="Times New Roman" w:eastAsia="仿宋_GB2312"/>
                <w:color w:val="000000"/>
                <w:kern w:val="0"/>
              </w:rPr>
              <w:t>.5</w:t>
            </w:r>
            <w:r>
              <w:rPr>
                <w:rFonts w:hint="eastAsia" w:ascii="Times New Roman" w:hAnsi="Times New Roman" w:eastAsia="仿宋_GB2312"/>
                <w:color w:val="000000"/>
                <w:kern w:val="0"/>
              </w:rPr>
              <w:t>　</w:t>
            </w:r>
          </w:p>
        </w:tc>
        <w:tc>
          <w:tcPr>
            <w:tcW w:w="646"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29</w:t>
            </w:r>
          </w:p>
        </w:tc>
        <w:tc>
          <w:tcPr>
            <w:tcW w:w="2860" w:type="dxa"/>
            <w:gridSpan w:val="2"/>
            <w:shd w:val="clear" w:color="auto" w:fill="auto"/>
            <w:vAlign w:val="center"/>
          </w:tcPr>
          <w:p>
            <w:pPr>
              <w:jc w:val="left"/>
              <w:rPr>
                <w:rFonts w:ascii="Times New Roman" w:hAnsi="Times New Roman" w:eastAsia="仿宋_GB2312"/>
                <w:color w:val="000000"/>
                <w:kern w:val="0"/>
              </w:rPr>
            </w:pPr>
            <w:r>
              <w:rPr>
                <w:rFonts w:hint="eastAsia" w:ascii="Times New Roman" w:hAnsi="Times New Roman" w:eastAsia="仿宋_GB2312"/>
                <w:color w:val="000000"/>
                <w:kern w:val="0"/>
              </w:rPr>
              <w:t>城镇保障性住房（套）</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预期性</w:t>
            </w:r>
          </w:p>
        </w:tc>
        <w:tc>
          <w:tcPr>
            <w:tcW w:w="993"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709"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646"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30</w:t>
            </w:r>
          </w:p>
        </w:tc>
        <w:tc>
          <w:tcPr>
            <w:tcW w:w="2860" w:type="dxa"/>
            <w:gridSpan w:val="2"/>
            <w:shd w:val="clear" w:color="auto" w:fill="auto"/>
            <w:vAlign w:val="center"/>
          </w:tcPr>
          <w:p>
            <w:pPr>
              <w:jc w:val="left"/>
              <w:rPr>
                <w:rFonts w:ascii="Times New Roman" w:hAnsi="Times New Roman" w:eastAsia="仿宋_GB2312"/>
                <w:color w:val="000000"/>
                <w:kern w:val="0"/>
              </w:rPr>
            </w:pPr>
            <w:r>
              <w:rPr>
                <w:rFonts w:hint="eastAsia" w:ascii="Times New Roman" w:hAnsi="Times New Roman" w:eastAsia="仿宋_GB2312"/>
                <w:color w:val="000000"/>
                <w:kern w:val="0"/>
              </w:rPr>
              <w:t>农村安全饮水普及率</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预期性</w:t>
            </w:r>
          </w:p>
        </w:tc>
        <w:tc>
          <w:tcPr>
            <w:tcW w:w="993"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100</w:t>
            </w:r>
          </w:p>
        </w:tc>
        <w:tc>
          <w:tcPr>
            <w:tcW w:w="850" w:type="dxa"/>
            <w:shd w:val="clear" w:color="auto" w:fill="auto"/>
            <w:vAlign w:val="center"/>
          </w:tcPr>
          <w:p>
            <w:pPr>
              <w:jc w:val="center"/>
              <w:rPr>
                <w:rFonts w:ascii="Times New Roman" w:hAnsi="Times New Roman" w:eastAsia="仿宋_GB2312"/>
                <w:color w:val="000000"/>
                <w:kern w:val="0"/>
              </w:rPr>
            </w:pPr>
          </w:p>
        </w:tc>
        <w:tc>
          <w:tcPr>
            <w:tcW w:w="709"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646"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6" w:type="dxa"/>
            <w:vMerge w:val="continue"/>
            <w:shd w:val="clear" w:color="auto" w:fill="auto"/>
            <w:noWrap/>
            <w:vAlign w:val="center"/>
          </w:tcPr>
          <w:p>
            <w:pPr>
              <w:jc w:val="left"/>
              <w:rPr>
                <w:rFonts w:ascii="Times New Roman" w:hAnsi="Times New Roman" w:eastAsia="仿宋_GB2312"/>
                <w:color w:val="000000"/>
                <w:kern w:val="0"/>
              </w:rPr>
            </w:pPr>
          </w:p>
        </w:tc>
        <w:tc>
          <w:tcPr>
            <w:tcW w:w="492"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31</w:t>
            </w:r>
          </w:p>
        </w:tc>
        <w:tc>
          <w:tcPr>
            <w:tcW w:w="2860" w:type="dxa"/>
            <w:gridSpan w:val="2"/>
            <w:shd w:val="clear" w:color="auto" w:fill="auto"/>
            <w:vAlign w:val="center"/>
          </w:tcPr>
          <w:p>
            <w:pPr>
              <w:jc w:val="left"/>
              <w:rPr>
                <w:rFonts w:ascii="Times New Roman" w:hAnsi="Times New Roman" w:eastAsia="仿宋_GB2312"/>
                <w:color w:val="000000"/>
                <w:kern w:val="0"/>
              </w:rPr>
            </w:pPr>
            <w:r>
              <w:rPr>
                <w:rFonts w:hint="eastAsia" w:ascii="Times New Roman" w:hAnsi="Times New Roman" w:eastAsia="仿宋_GB2312"/>
                <w:color w:val="000000"/>
                <w:kern w:val="0"/>
              </w:rPr>
              <w:t>新增劳动力平均受教育年限（年）</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预期性</w:t>
            </w:r>
          </w:p>
        </w:tc>
        <w:tc>
          <w:tcPr>
            <w:tcW w:w="993" w:type="dxa"/>
            <w:shd w:val="clear" w:color="auto" w:fill="auto"/>
            <w:vAlign w:val="center"/>
          </w:tcPr>
          <w:p>
            <w:pPr>
              <w:jc w:val="center"/>
              <w:rPr>
                <w:rFonts w:ascii="Times New Roman" w:hAnsi="Times New Roman" w:eastAsia="仿宋_GB2312"/>
                <w:color w:val="000000"/>
                <w:kern w:val="0"/>
              </w:rPr>
            </w:pPr>
            <w:r>
              <w:rPr>
                <w:rFonts w:ascii="Times New Roman" w:hAnsi="Times New Roman" w:eastAsia="仿宋_GB2312"/>
                <w:color w:val="000000"/>
                <w:kern w:val="0"/>
              </w:rPr>
              <w:t>12</w:t>
            </w:r>
          </w:p>
        </w:tc>
        <w:tc>
          <w:tcPr>
            <w:tcW w:w="850" w:type="dxa"/>
            <w:shd w:val="clear" w:color="auto" w:fill="auto"/>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709"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c>
          <w:tcPr>
            <w:tcW w:w="646" w:type="dxa"/>
            <w:shd w:val="clear" w:color="auto" w:fill="auto"/>
            <w:noWrap/>
            <w:vAlign w:val="center"/>
          </w:tcPr>
          <w:p>
            <w:pPr>
              <w:jc w:val="center"/>
              <w:rPr>
                <w:rFonts w:ascii="Times New Roman" w:hAnsi="Times New Roman" w:eastAsia="仿宋_GB2312"/>
                <w:color w:val="000000"/>
                <w:kern w:val="0"/>
              </w:rPr>
            </w:pPr>
            <w:r>
              <w:rPr>
                <w:rFonts w:hint="eastAsia"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296" w:type="dxa"/>
            <w:gridSpan w:val="9"/>
            <w:shd w:val="clear" w:color="auto" w:fill="auto"/>
            <w:noWrap/>
            <w:vAlign w:val="center"/>
          </w:tcPr>
          <w:p>
            <w:pPr>
              <w:jc w:val="left"/>
              <w:rPr>
                <w:rFonts w:ascii="Times New Roman" w:hAnsi="Times New Roman" w:eastAsia="仿宋_GB2312"/>
                <w:color w:val="000000"/>
                <w:kern w:val="0"/>
              </w:rPr>
            </w:pPr>
            <w:r>
              <w:rPr>
                <w:rFonts w:hint="eastAsia" w:ascii="Times New Roman" w:hAnsi="Times New Roman" w:eastAsia="仿宋_GB2312"/>
                <w:color w:val="000000"/>
                <w:kern w:val="0"/>
              </w:rPr>
              <w:t>注：预期性指标是政府期望的发展方向，主要依靠市场主体的自主行为实现。政府要创造良好的宏观环境、制度环境和市场环境，并适时调整宏观调控的方向和力度，综合运用经济政策引导社会资源配置，努力争取实现。</w:t>
            </w:r>
          </w:p>
          <w:p>
            <w:pPr>
              <w:rPr>
                <w:rFonts w:ascii="Times New Roman" w:hAnsi="Times New Roman" w:eastAsia="仿宋_GB2312"/>
                <w:color w:val="000000"/>
                <w:kern w:val="0"/>
              </w:rPr>
            </w:pPr>
            <w:r>
              <w:rPr>
                <w:rFonts w:hint="eastAsia" w:ascii="Times New Roman" w:hAnsi="Times New Roman" w:eastAsia="仿宋_GB2312"/>
                <w:color w:val="000000"/>
                <w:kern w:val="0"/>
              </w:rPr>
              <w:t>约束性指标是在预期性基础上进一步强化了政府责任的指标，是省政府在公共服务和涉及公众利益领域对地方政府和省政府有关部门提出的工作要求。政府要通过合理配置公共资源和有效运用行政力量，确保实现。</w:t>
            </w:r>
          </w:p>
        </w:tc>
      </w:tr>
    </w:tbl>
    <w:p>
      <w:pPr>
        <w:spacing w:line="560" w:lineRule="exact"/>
        <w:ind w:firstLine="600"/>
        <w:rPr>
          <w:rFonts w:ascii="Times New Roman" w:hAnsi="Times New Roman" w:eastAsia="仿宋_GB2312" w:cs="Times New Roman"/>
        </w:rPr>
      </w:pPr>
      <w:r>
        <w:rPr>
          <w:rFonts w:hint="eastAsia" w:ascii="Times New Roman" w:hAnsi="Times New Roman" w:eastAsia="仿宋_GB2312" w:cs="Times New Roman"/>
        </w:rPr>
        <w:t>注：</w:t>
      </w:r>
      <w:r>
        <w:rPr>
          <w:rFonts w:ascii="Times New Roman" w:hAnsi="Times New Roman" w:eastAsia="仿宋_GB2312" w:cs="Times New Roman"/>
        </w:rPr>
        <w:t>[]</w:t>
      </w:r>
      <w:r>
        <w:rPr>
          <w:rFonts w:hint="eastAsia" w:ascii="Times New Roman" w:hAnsi="Times New Roman" w:eastAsia="仿宋_GB2312" w:cs="Times New Roman"/>
        </w:rPr>
        <w:t>表示累计指标。</w:t>
      </w:r>
    </w:p>
    <w:p>
      <w:pPr>
        <w:pStyle w:val="4"/>
        <w:keepNext w:val="0"/>
        <w:keepLines w:val="0"/>
        <w:spacing w:before="120" w:after="120" w:line="560" w:lineRule="exact"/>
        <w:ind w:firstLine="640" w:firstLineChars="200"/>
        <w:rPr>
          <w:rFonts w:ascii="Times New Roman" w:hAnsi="Times New Roman" w:eastAsia="楷体"/>
          <w:b w:val="0"/>
          <w:bCs w:val="0"/>
        </w:rPr>
      </w:pPr>
      <w:r>
        <w:rPr>
          <w:rFonts w:hint="eastAsia" w:ascii="Times New Roman" w:hAnsi="Times New Roman" w:eastAsia="楷体"/>
          <w:b w:val="0"/>
          <w:bCs w:val="0"/>
        </w:rPr>
        <w:t>（二）新发展阶段面临的新机遇新挑战</w:t>
      </w:r>
      <w:bookmarkEnd w:id="4"/>
      <w:bookmarkEnd w:id="5"/>
    </w:p>
    <w:p>
      <w:pPr>
        <w:spacing w:line="560" w:lineRule="exact"/>
        <w:ind w:firstLine="600" w:firstLineChars="200"/>
        <w:rPr>
          <w:rFonts w:ascii="Times New Roman" w:hAnsi="Times New Roman" w:eastAsia="仿宋_GB2312" w:cs="Times New Roman"/>
          <w:sz w:val="30"/>
          <w:szCs w:val="30"/>
        </w:rPr>
      </w:pPr>
      <w:r>
        <w:rPr>
          <w:rFonts w:hint="eastAsia" w:ascii="仿宋_GB2312" w:hAnsi="仿宋_GB2312" w:eastAsia="仿宋_GB2312" w:cs="仿宋_GB2312"/>
          <w:sz w:val="30"/>
          <w:szCs w:val="30"/>
        </w:rPr>
        <w:t>当今世界正经历百年未有之大变局，新冠肺炎疫情影响广泛深远。我国发展仍然处于重要战略机遇期，继续发展具有多方面优势和条件。</w:t>
      </w:r>
      <w:r>
        <w:rPr>
          <w:rFonts w:hint="eastAsia" w:ascii="Times New Roman" w:hAnsi="Times New Roman" w:eastAsia="仿宋_GB2312" w:cs="Times New Roman"/>
          <w:b/>
          <w:sz w:val="30"/>
          <w:szCs w:val="30"/>
        </w:rPr>
        <w:t>一是新时期，</w:t>
      </w:r>
      <w:r>
        <w:rPr>
          <w:rFonts w:hint="eastAsia" w:ascii="Times New Roman" w:hAnsi="Times New Roman" w:eastAsia="仿宋_GB2312" w:cs="Times New Roman"/>
          <w:sz w:val="30"/>
          <w:szCs w:val="30"/>
        </w:rPr>
        <w:t>我国进入高质量发展的阶段，将由中等收入迈入高收入国家行列，以国内大循环为主体、国内国际双循环相互促进的新发展格局加快形成，区域协调和一体化发展趋势更加凸显，继续发展具有多方面的优势和条件。</w:t>
      </w:r>
      <w:r>
        <w:rPr>
          <w:rFonts w:hint="eastAsia" w:ascii="Times New Roman" w:hAnsi="Times New Roman" w:eastAsia="仿宋_GB2312" w:cs="Times New Roman"/>
          <w:b/>
          <w:sz w:val="30"/>
          <w:szCs w:val="30"/>
        </w:rPr>
        <w:t>二是新挑战，</w:t>
      </w:r>
      <w:r>
        <w:rPr>
          <w:rFonts w:hint="eastAsia" w:ascii="Times New Roman" w:hAnsi="Times New Roman" w:eastAsia="仿宋_GB2312" w:cs="仿宋_GB2312"/>
          <w:sz w:val="30"/>
          <w:szCs w:val="30"/>
        </w:rPr>
        <w:t>全球大流行的疫情之变、全球增长衰退的经济之变、中美经贸斗争的贸易之变三个变量叠加影响，推动</w:t>
      </w:r>
      <w:r>
        <w:rPr>
          <w:rFonts w:hint="eastAsia" w:ascii="Times New Roman" w:hAnsi="Times New Roman" w:eastAsia="仿宋_GB2312" w:cs="Times New Roman"/>
          <w:sz w:val="30"/>
          <w:szCs w:val="30"/>
        </w:rPr>
        <w:t>国际形势更加深刻复杂多变，全球经济发展、科技创新、投资贸易、多元治理等都面临前所未有之大变局；</w:t>
      </w:r>
      <w:r>
        <w:rPr>
          <w:rFonts w:hint="eastAsia" w:ascii="Times New Roman" w:hAnsi="Times New Roman" w:eastAsia="仿宋_GB2312" w:cs="Times New Roman"/>
          <w:b/>
          <w:sz w:val="30"/>
          <w:szCs w:val="30"/>
        </w:rPr>
        <w:t>三是新特征，</w:t>
      </w:r>
      <w:r>
        <w:rPr>
          <w:rFonts w:hint="eastAsia" w:ascii="Times New Roman" w:hAnsi="Times New Roman" w:eastAsia="仿宋_GB2312" w:cs="仿宋_GB2312"/>
          <w:sz w:val="30"/>
          <w:szCs w:val="30"/>
        </w:rPr>
        <w:t>新一轮科技革命和产业变革以不可阻挡之势重塑世界，“万物互联”的数字化时代来临，</w:t>
      </w:r>
      <w:r>
        <w:rPr>
          <w:rFonts w:hint="eastAsia" w:ascii="Times New Roman" w:hAnsi="Times New Roman" w:eastAsia="仿宋_GB2312" w:cs="Times New Roman"/>
          <w:sz w:val="30"/>
          <w:szCs w:val="30"/>
        </w:rPr>
        <w:t>经济、科技、文化、安全、政治等格局都在发生深刻调整，不平衡不充分的矛盾更为突出，人口老龄化、资源要素配置、消费结构升级，亟需提升供给体系的适配性。</w:t>
      </w:r>
    </w:p>
    <w:p>
      <w:pPr>
        <w:spacing w:line="560" w:lineRule="exact"/>
        <w:ind w:firstLine="600" w:firstLineChars="200"/>
        <w:rPr>
          <w:rFonts w:ascii="Times New Roman" w:hAnsi="Times New Roman" w:eastAsia="仿宋_GB2312" w:cs="仿宋_GB2312"/>
          <w:sz w:val="30"/>
          <w:szCs w:val="30"/>
        </w:rPr>
      </w:pPr>
      <w:r>
        <w:rPr>
          <w:rFonts w:hint="eastAsia" w:ascii="Times New Roman" w:hAnsi="Times New Roman" w:eastAsia="仿宋_GB2312" w:cs="仿宋_GB2312"/>
          <w:sz w:val="30"/>
          <w:szCs w:val="30"/>
        </w:rPr>
        <w:t>立足新形势，我县挑战与机遇并存。</w:t>
      </w:r>
      <w:r>
        <w:rPr>
          <w:rFonts w:hint="eastAsia" w:ascii="仿宋_GB2312" w:hAnsi="仿宋_GB2312" w:eastAsia="仿宋_GB2312" w:cs="仿宋_GB2312"/>
          <w:b/>
          <w:bCs/>
          <w:sz w:val="30"/>
          <w:szCs w:val="30"/>
        </w:rPr>
        <w:t>从全省来看，</w:t>
      </w:r>
      <w:r>
        <w:rPr>
          <w:rFonts w:hint="eastAsia" w:ascii="仿宋_GB2312" w:hAnsi="仿宋_GB2312" w:eastAsia="仿宋_GB2312" w:cs="仿宋_GB2312"/>
          <w:sz w:val="30"/>
          <w:szCs w:val="30"/>
        </w:rPr>
        <w:t>河南省在全国发展大局中的地位不断提升，经济长期稳中向好的基本面没有改变，内生动力、市场潜力、要素支撑依然强劲有力，正处在转变发展方式、优化经济结构、转换增长动力、实现由大到强的关键时期。黄河流域生态保护和高质量发展与新时期促进中部地区崛起等一系列国家支持河南发展的重大战略、重大政策相继落地实施，连通境内外、辐射东中西的物流通道枢纽加速形成，战略叠加效应、政策集成效应、发展协同效应将会持续释放，全省发展的战略机会窗口将全面开启。</w:t>
      </w:r>
      <w:r>
        <w:rPr>
          <w:rFonts w:hint="eastAsia" w:ascii="仿宋_GB2312" w:hAnsi="仿宋_GB2312" w:eastAsia="仿宋_GB2312" w:cs="仿宋_GB2312"/>
          <w:b/>
          <w:bCs/>
          <w:sz w:val="30"/>
          <w:szCs w:val="30"/>
        </w:rPr>
        <w:t>从全市来看，</w:t>
      </w:r>
      <w:r>
        <w:rPr>
          <w:rFonts w:hint="eastAsia" w:ascii="仿宋_GB2312" w:hAnsi="仿宋_GB2312" w:eastAsia="仿宋_GB2312" w:cs="仿宋_GB2312"/>
          <w:sz w:val="30"/>
          <w:szCs w:val="30"/>
        </w:rPr>
        <w:t>商丘具有底蕴深厚的历史文化优势、四通八达的交通枢纽优势、物华天宝的资源优势、强大的人力资源优势、适宜产业布局的区域中心城市优势、链条完整的产业发展优势、重厚多君子的人文优势和“马上办抓落实”的作风优势，进一步推动我市高质量发展更具有强劲韧性。</w:t>
      </w:r>
      <w:r>
        <w:rPr>
          <w:rFonts w:hint="eastAsia" w:ascii="仿宋_GB2312" w:hAnsi="仿宋_GB2312" w:eastAsia="仿宋_GB2312" w:cs="仿宋_GB2312"/>
          <w:b/>
          <w:bCs/>
          <w:sz w:val="30"/>
          <w:szCs w:val="30"/>
        </w:rPr>
        <w:t>从夏邑自身来看，</w:t>
      </w:r>
      <w:r>
        <w:rPr>
          <w:rFonts w:hint="eastAsia" w:ascii="仿宋_GB2312" w:hAnsi="仿宋_GB2312" w:eastAsia="仿宋_GB2312" w:cs="仿宋_GB2312"/>
          <w:color w:val="000000"/>
          <w:sz w:val="30"/>
          <w:szCs w:val="30"/>
        </w:rPr>
        <w:t>我县地处豫、鲁、苏、皖四省交界，是中原地区对接“长三角”的“桥头堡”，长三角区域一体化、长江经济带等区域发展战略的深入推进，将为我县承接沿海产业转移和要素溢出创造有利条件。中原经济区、黄河流域生态保护和高质量发展、乡村振兴等战略红利正加快转化为新势能，有利于我县凭借较好的产业基础、灵活的市场机制率先把握住机遇，加速高质量发展。</w:t>
      </w:r>
    </w:p>
    <w:p>
      <w:pPr>
        <w:spacing w:line="560" w:lineRule="exact"/>
        <w:ind w:firstLine="601"/>
        <w:rPr>
          <w:rFonts w:hint="eastAsia" w:ascii="Times New Roman" w:hAnsi="Times New Roman" w:eastAsia="仿宋_GB2312" w:cs="Times New Roman"/>
          <w:sz w:val="30"/>
          <w:szCs w:val="30"/>
        </w:rPr>
      </w:pPr>
      <w:bookmarkStart w:id="6" w:name="_Hlk59015966"/>
      <w:r>
        <w:rPr>
          <w:rFonts w:hint="eastAsia" w:ascii="Times New Roman" w:hAnsi="Times New Roman" w:eastAsia="仿宋_GB2312" w:cs="仿宋_GB2312"/>
          <w:sz w:val="30"/>
          <w:szCs w:val="30"/>
        </w:rPr>
        <w:t>综合判断，</w:t>
      </w:r>
      <w:bookmarkEnd w:id="6"/>
      <w:r>
        <w:rPr>
          <w:rFonts w:hint="eastAsia" w:ascii="Times New Roman" w:hAnsi="Times New Roman" w:eastAsia="仿宋_GB2312" w:cs="仿宋_GB2312"/>
          <w:sz w:val="30"/>
          <w:szCs w:val="30"/>
        </w:rPr>
        <w:t>当前我县经济发展已经由中高速增长转向高质量发展，进入新型工业化和新型城市化阶段。因此，</w:t>
      </w:r>
      <w:r>
        <w:rPr>
          <w:rFonts w:hint="eastAsia" w:ascii="Times New Roman" w:hAnsi="Times New Roman" w:eastAsia="仿宋_GB2312" w:cs="Times New Roman"/>
          <w:sz w:val="30"/>
          <w:szCs w:val="30"/>
        </w:rPr>
        <w:t>“十四五”及今后一个时期，</w:t>
      </w:r>
      <w:r>
        <w:rPr>
          <w:rFonts w:hint="eastAsia" w:ascii="Times New Roman" w:hAnsi="Times New Roman" w:eastAsia="仿宋_GB2312" w:cs="仿宋_GB2312"/>
          <w:sz w:val="30"/>
          <w:szCs w:val="30"/>
        </w:rPr>
        <w:t>我县必须把握人口、空间、后发等方面的优势，</w:t>
      </w:r>
      <w:r>
        <w:rPr>
          <w:rFonts w:hint="eastAsia" w:ascii="Times New Roman" w:hAnsi="Times New Roman" w:eastAsia="仿宋_GB2312" w:cs="Times New Roman"/>
          <w:sz w:val="30"/>
          <w:szCs w:val="30"/>
        </w:rPr>
        <w:t>正确处理好时与势、危与机、竞与合的关系，进一步立足大局、统揽全局、引领变局、开拓新局。要</w:t>
      </w:r>
      <w:bookmarkStart w:id="7" w:name="_Hlk59016015"/>
      <w:r>
        <w:rPr>
          <w:rFonts w:hint="eastAsia" w:ascii="Times New Roman" w:hAnsi="Times New Roman" w:eastAsia="仿宋_GB2312" w:cs="Times New Roman"/>
          <w:sz w:val="30"/>
          <w:szCs w:val="30"/>
        </w:rPr>
        <w:t>着眼于把新发展理念贯穿全过程，着眼于“双循环”新发展格局，着眼于区域性战略的深入实施，着眼于全方位创新引领高质量发展，</w:t>
      </w:r>
      <w:bookmarkEnd w:id="7"/>
      <w:r>
        <w:rPr>
          <w:rFonts w:hint="eastAsia" w:ascii="Times New Roman" w:hAnsi="Times New Roman" w:eastAsia="仿宋_GB2312" w:cs="Times New Roman"/>
          <w:sz w:val="30"/>
          <w:szCs w:val="30"/>
        </w:rPr>
        <w:t>坚持稳中求进总基调，保持战略定力，在危机中育先机、于变局中开新局，谋深谋实未来五年发展蓝图，在河南谱写新时代中原更加出彩绚丽篇章中体现夏邑担当、贡献夏邑样本、展现夏邑风采。</w:t>
      </w:r>
    </w:p>
    <w:p>
      <w:pPr>
        <w:pStyle w:val="4"/>
        <w:keepNext w:val="0"/>
        <w:keepLines w:val="0"/>
        <w:spacing w:before="120" w:after="120" w:line="560" w:lineRule="exact"/>
        <w:ind w:firstLine="640" w:firstLineChars="200"/>
        <w:rPr>
          <w:rFonts w:ascii="Times New Roman" w:hAnsi="Times New Roman" w:eastAsia="楷体"/>
          <w:b w:val="0"/>
          <w:bCs w:val="0"/>
        </w:rPr>
      </w:pPr>
      <w:bookmarkStart w:id="8" w:name="_Toc65060499"/>
      <w:bookmarkStart w:id="9" w:name="_Toc59921170"/>
      <w:r>
        <w:rPr>
          <w:rFonts w:hint="eastAsia" w:ascii="Times New Roman" w:hAnsi="Times New Roman" w:eastAsia="楷体"/>
          <w:b w:val="0"/>
          <w:bCs w:val="0"/>
        </w:rPr>
        <w:t>（三）“十四五”时期经济社会发展的总体要求</w:t>
      </w:r>
      <w:bookmarkEnd w:id="8"/>
      <w:bookmarkEnd w:id="9"/>
    </w:p>
    <w:p>
      <w:pPr>
        <w:spacing w:line="560" w:lineRule="exact"/>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深入学习贯彻习近平总书记视察河南工作的重要讲话和指示精神，统筹推进“五位一体”总体布局，协调推进“四个全面”战略布局，坚定不移贯彻新发展理念，坚持稳中求进工作总基调，深入落实“四个着力”、持续打好“四张牌”，以推动高质量发展为主题，以深化供给侧结构性改革为主线，以改革创新为根本动力，以满足人民日益增长的美好生活需要为根本目的，统筹发展和安全，加快构建现代经济体系，全面融入以国内大循环为主体、国内国际双循环相互促进的新发展格局，着力推进治理体系和治理能力现代化，持续营造学的氛围、严的氛围、干的氛围，以党建高质量推动发展高质量，努力打造黄河流域生态保护和高质量发展样板区、全面接轨长三角先行区、中部崛起绿色智造示范区，建设更高水平的“活力、生态、诚信、和美、长寿”夏邑，确保全面建设社会主义现代化夏邑开好局、起好步，在谱写新时代中原更加出彩绚丽篇章中走在前列。</w:t>
      </w:r>
    </w:p>
    <w:p>
      <w:pPr>
        <w:spacing w:line="560" w:lineRule="exact"/>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贯彻上述指导思想，“十四五”时期要坚持以下基本原则：</w:t>
      </w:r>
    </w:p>
    <w:p>
      <w:pPr>
        <w:spacing w:line="560" w:lineRule="exact"/>
        <w:ind w:firstLine="602" w:firstLineChars="200"/>
        <w:rPr>
          <w:rFonts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——坚持党的全面领导。</w:t>
      </w:r>
      <w:r>
        <w:rPr>
          <w:rFonts w:hint="eastAsia" w:ascii="仿宋_GB2312" w:hAnsi="仿宋_GB2312" w:eastAsia="仿宋_GB2312" w:cs="仿宋_GB2312"/>
          <w:color w:val="000000"/>
          <w:sz w:val="30"/>
          <w:szCs w:val="30"/>
        </w:rPr>
        <w:t>坚持和完善党领导经济社会发展的体制机制，坚持和完善中国特色社会主义制度，不断提高贯彻新发展理念、构建新发展格局能力和水平，为实现高质量发展提供根本保证。</w:t>
      </w:r>
    </w:p>
    <w:p>
      <w:pPr>
        <w:spacing w:line="560" w:lineRule="exact"/>
        <w:ind w:firstLine="602" w:firstLineChars="200"/>
        <w:rPr>
          <w:rFonts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——坚持人民至上。</w:t>
      </w:r>
      <w:r>
        <w:rPr>
          <w:rFonts w:hint="eastAsia" w:ascii="仿宋_GB2312" w:hAnsi="仿宋_GB2312" w:eastAsia="仿宋_GB2312" w:cs="仿宋_GB2312"/>
          <w:color w:val="000000"/>
          <w:sz w:val="30"/>
          <w:szCs w:val="30"/>
        </w:rPr>
        <w:t>坚持人民主体地位，坚持共同富裕方向，始终坚持发展为了人民、发展依靠人民、发展成果由人民共享，始终同群众站在一起、干在一起、拼在一起，维护人民利益，不断增进人民福祉、促进人的全面发展，不断实现人民群众对美好生活的向往。</w:t>
      </w:r>
    </w:p>
    <w:p>
      <w:pPr>
        <w:spacing w:line="560" w:lineRule="exact"/>
        <w:ind w:firstLine="602" w:firstLineChars="200"/>
        <w:rPr>
          <w:rFonts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——坚持新发展理念。</w:t>
      </w:r>
      <w:r>
        <w:rPr>
          <w:rFonts w:hint="eastAsia" w:ascii="仿宋_GB2312" w:hAnsi="仿宋_GB2312" w:eastAsia="仿宋_GB2312" w:cs="仿宋_GB2312"/>
          <w:color w:val="000000"/>
          <w:sz w:val="30"/>
          <w:szCs w:val="30"/>
        </w:rPr>
        <w:t>把新发展理念贯穿于现代化建设全过程，转变发展方式，以保促稳、稳中求进、进中蓄势，加快转型升级和提质增效，融入新发展格局，实现更高质量、更有效率、更加公平、更可持续、更为安全的发展。</w:t>
      </w:r>
    </w:p>
    <w:p>
      <w:pPr>
        <w:spacing w:line="560" w:lineRule="exact"/>
        <w:ind w:firstLine="602" w:firstLineChars="200"/>
        <w:rPr>
          <w:rFonts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——坚持改革开放创新。</w:t>
      </w:r>
      <w:r>
        <w:rPr>
          <w:rFonts w:hint="eastAsia" w:ascii="仿宋_GB2312" w:hAnsi="仿宋_GB2312" w:eastAsia="仿宋_GB2312" w:cs="仿宋_GB2312"/>
          <w:color w:val="000000"/>
          <w:sz w:val="30"/>
          <w:szCs w:val="30"/>
        </w:rPr>
        <w:t>全面深化改革，全方位提升对内对外开放水平，加强治理体系和治理能力现代化建设，勇于向创新要动力，坚决破除制约高质量发展、高品质生活的体制机制障碍，</w:t>
      </w:r>
      <w:r>
        <w:rPr>
          <w:rFonts w:hint="eastAsia" w:ascii="仿宋_GB2312" w:hAnsi="仿宋_GB2312" w:eastAsia="仿宋_GB2312" w:cs="仿宋_GB2312"/>
          <w:color w:val="000000"/>
          <w:spacing w:val="-10"/>
          <w:sz w:val="30"/>
          <w:szCs w:val="30"/>
        </w:rPr>
        <w:t>聚集创新资源，培育发展新业态，营造发展新环境。</w:t>
      </w:r>
    </w:p>
    <w:p>
      <w:pPr>
        <w:spacing w:line="560" w:lineRule="exact"/>
        <w:ind w:firstLine="602" w:firstLineChars="200"/>
        <w:rPr>
          <w:rFonts w:ascii="仿宋_GB2312" w:hAnsi="仿宋_GB2312" w:eastAsia="仿宋_GB2312" w:cs="仿宋_GB2312"/>
          <w:sz w:val="30"/>
          <w:szCs w:val="30"/>
        </w:rPr>
      </w:pPr>
      <w:r>
        <w:rPr>
          <w:rFonts w:hint="eastAsia" w:ascii="仿宋_GB2312" w:hAnsi="仿宋_GB2312" w:eastAsia="仿宋_GB2312" w:cs="仿宋_GB2312"/>
          <w:b/>
          <w:bCs/>
          <w:sz w:val="30"/>
          <w:szCs w:val="30"/>
        </w:rPr>
        <w:t>——坚持系统观念。</w:t>
      </w:r>
      <w:r>
        <w:rPr>
          <w:rFonts w:hint="eastAsia" w:ascii="仿宋_GB2312" w:hAnsi="仿宋_GB2312" w:eastAsia="仿宋_GB2312" w:cs="仿宋_GB2312"/>
          <w:sz w:val="30"/>
          <w:szCs w:val="30"/>
        </w:rPr>
        <w:t>坚持全县一盘棋，加强前瞻性思考、全局性谋划、战略性布局、整体性推进，更好发挥各级各部门积极性，固根基、扬优势、补短板、强弱项，防范化解重大风险挑战，不断增强发展整体性、协调性和可持续性，实现发展质量、结构、规模、速度、效益、安全相统一。</w:t>
      </w:r>
    </w:p>
    <w:p>
      <w:pPr>
        <w:spacing w:line="560" w:lineRule="exact"/>
        <w:ind w:firstLine="602" w:firstLineChars="200"/>
        <w:rPr>
          <w:rFonts w:ascii="仿宋_GB2312" w:hAnsi="仿宋_GB2312" w:eastAsia="仿宋_GB2312" w:cs="仿宋_GB2312"/>
          <w:color w:val="000000"/>
          <w:sz w:val="30"/>
          <w:szCs w:val="30"/>
        </w:rPr>
      </w:pPr>
      <w:r>
        <w:rPr>
          <w:rFonts w:hint="eastAsia" w:ascii="仿宋_GB2312" w:hAnsi="仿宋_GB2312" w:eastAsia="仿宋_GB2312" w:cs="仿宋_GB2312"/>
          <w:b/>
          <w:bCs/>
          <w:sz w:val="30"/>
          <w:szCs w:val="30"/>
        </w:rPr>
        <w:t>——坚持真抓实干奋勇争先。</w:t>
      </w:r>
      <w:r>
        <w:rPr>
          <w:rFonts w:hint="eastAsia" w:ascii="仿宋_GB2312" w:hAnsi="仿宋_GB2312" w:eastAsia="仿宋_GB2312" w:cs="仿宋_GB2312"/>
          <w:sz w:val="30"/>
          <w:szCs w:val="30"/>
        </w:rPr>
        <w:t>树牢干的导向，践行马上办抓落实，多干打基础利长远、积势谋势蓄势的事，多干抓机遇用机遇、应变局开新局的事，多干解民忧顺民意、惠民生暖民心的事，久久为功、善作善成、勇争一流，一步步把美好蓝图变为现实。</w:t>
      </w:r>
    </w:p>
    <w:p>
      <w:pPr>
        <w:pStyle w:val="4"/>
        <w:keepNext w:val="0"/>
        <w:keepLines w:val="0"/>
        <w:spacing w:before="120" w:after="120" w:line="560" w:lineRule="exact"/>
        <w:ind w:firstLine="640" w:firstLineChars="200"/>
        <w:rPr>
          <w:rFonts w:ascii="Times New Roman" w:hAnsi="Times New Roman" w:eastAsia="楷体"/>
          <w:b w:val="0"/>
          <w:bCs w:val="0"/>
        </w:rPr>
      </w:pPr>
      <w:bookmarkStart w:id="10" w:name="_Toc59921171"/>
      <w:bookmarkStart w:id="11" w:name="_Toc65060500"/>
      <w:r>
        <w:rPr>
          <w:rFonts w:hint="eastAsia" w:ascii="Times New Roman" w:hAnsi="Times New Roman" w:eastAsia="楷体"/>
          <w:b w:val="0"/>
          <w:bCs w:val="0"/>
        </w:rPr>
        <w:t>（四）“十四五”时期经济社会发展定位和主要目标</w:t>
      </w:r>
      <w:bookmarkEnd w:id="10"/>
      <w:bookmarkEnd w:id="11"/>
    </w:p>
    <w:p>
      <w:pPr>
        <w:tabs>
          <w:tab w:val="left" w:pos="2745"/>
        </w:tabs>
        <w:spacing w:line="560" w:lineRule="exact"/>
        <w:ind w:firstLine="66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结合我县发展基础和产业条件，未来五年我县的发展定位是：努力打造黄河流域生态保护和高质量发展样板区、全面接轨长三角先行区、中部崛起绿色智造示范区；高水平建设“活力、生态、诚信、和美、长寿”新夏邑。</w:t>
      </w:r>
    </w:p>
    <w:p>
      <w:pPr>
        <w:tabs>
          <w:tab w:val="left" w:pos="2745"/>
        </w:tabs>
        <w:spacing w:line="560" w:lineRule="exact"/>
        <w:ind w:firstLine="660"/>
        <w:rPr>
          <w:rFonts w:ascii="Times New Roman" w:hAnsi="Times New Roman" w:eastAsia="仿宋_GB2312" w:cs="Times New Roman"/>
          <w:b/>
          <w:bCs/>
          <w:sz w:val="30"/>
          <w:szCs w:val="30"/>
        </w:rPr>
      </w:pPr>
      <w:r>
        <w:rPr>
          <w:rFonts w:hint="eastAsia" w:ascii="Times New Roman" w:hAnsi="Times New Roman" w:eastAsia="仿宋_GB2312" w:cs="Times New Roman"/>
          <w:b/>
          <w:bCs/>
          <w:sz w:val="30"/>
          <w:szCs w:val="30"/>
        </w:rPr>
        <w:t>打造“三区”：</w:t>
      </w:r>
    </w:p>
    <w:p>
      <w:pPr>
        <w:tabs>
          <w:tab w:val="left" w:pos="2745"/>
        </w:tabs>
        <w:spacing w:line="560" w:lineRule="exact"/>
        <w:ind w:firstLine="660"/>
        <w:rPr>
          <w:rFonts w:ascii="Times New Roman" w:hAnsi="Times New Roman" w:eastAsia="仿宋_GB2312" w:cs="Times New Roman"/>
          <w:sz w:val="30"/>
          <w:szCs w:val="30"/>
        </w:rPr>
      </w:pPr>
      <w:r>
        <w:rPr>
          <w:rFonts w:hint="eastAsia" w:ascii="楷体_GB2312" w:hAnsi="Yu Mincho" w:eastAsia="楷体_GB2312" w:cs="Times New Roman"/>
          <w:sz w:val="30"/>
          <w:szCs w:val="30"/>
        </w:rPr>
        <w:t>黄河流域生</w:t>
      </w:r>
      <w:r>
        <w:rPr>
          <w:rFonts w:hint="eastAsia" w:ascii="楷体_GB2312" w:hAnsi="宋体" w:eastAsia="楷体_GB2312" w:cs="宋体"/>
          <w:sz w:val="30"/>
          <w:szCs w:val="30"/>
        </w:rPr>
        <w:t>态</w:t>
      </w:r>
      <w:r>
        <w:rPr>
          <w:rFonts w:hint="eastAsia" w:ascii="楷体_GB2312" w:hAnsi="Yu Gothic" w:eastAsia="楷体_GB2312" w:cs="Yu Gothic"/>
          <w:sz w:val="30"/>
          <w:szCs w:val="30"/>
        </w:rPr>
        <w:t>保</w:t>
      </w:r>
      <w:r>
        <w:rPr>
          <w:rFonts w:hint="eastAsia" w:ascii="楷体_GB2312" w:hAnsi="宋体" w:eastAsia="楷体_GB2312" w:cs="宋体"/>
          <w:sz w:val="30"/>
          <w:szCs w:val="30"/>
        </w:rPr>
        <w:t>护</w:t>
      </w:r>
      <w:r>
        <w:rPr>
          <w:rFonts w:hint="eastAsia" w:ascii="楷体_GB2312" w:hAnsi="Yu Gothic" w:eastAsia="楷体_GB2312" w:cs="Yu Gothic"/>
          <w:sz w:val="30"/>
          <w:szCs w:val="30"/>
        </w:rPr>
        <w:t>和高</w:t>
      </w:r>
      <w:r>
        <w:rPr>
          <w:rFonts w:hint="eastAsia" w:ascii="楷体_GB2312" w:hAnsi="宋体" w:eastAsia="楷体_GB2312" w:cs="宋体"/>
          <w:sz w:val="30"/>
          <w:szCs w:val="30"/>
        </w:rPr>
        <w:t>质</w:t>
      </w:r>
      <w:r>
        <w:rPr>
          <w:rFonts w:hint="eastAsia" w:ascii="楷体_GB2312" w:hAnsi="Yu Gothic" w:eastAsia="楷体_GB2312" w:cs="Yu Gothic"/>
          <w:sz w:val="30"/>
          <w:szCs w:val="30"/>
        </w:rPr>
        <w:t>量</w:t>
      </w:r>
      <w:r>
        <w:rPr>
          <w:rFonts w:hint="eastAsia" w:ascii="楷体_GB2312" w:hAnsi="宋体" w:eastAsia="楷体_GB2312" w:cs="宋体"/>
          <w:sz w:val="30"/>
          <w:szCs w:val="30"/>
        </w:rPr>
        <w:t>发</w:t>
      </w:r>
      <w:r>
        <w:rPr>
          <w:rFonts w:hint="eastAsia" w:ascii="楷体_GB2312" w:hAnsi="Yu Gothic" w:eastAsia="楷体_GB2312" w:cs="Yu Gothic"/>
          <w:sz w:val="30"/>
          <w:szCs w:val="30"/>
        </w:rPr>
        <w:t>展</w:t>
      </w:r>
      <w:r>
        <w:rPr>
          <w:rFonts w:hint="eastAsia" w:ascii="楷体_GB2312" w:hAnsi="宋体" w:eastAsia="楷体_GB2312" w:cs="宋体"/>
          <w:sz w:val="30"/>
          <w:szCs w:val="30"/>
        </w:rPr>
        <w:t>样</w:t>
      </w:r>
      <w:r>
        <w:rPr>
          <w:rFonts w:hint="eastAsia" w:ascii="楷体_GB2312" w:hAnsi="Yu Gothic" w:eastAsia="楷体_GB2312" w:cs="Yu Gothic"/>
          <w:sz w:val="30"/>
          <w:szCs w:val="30"/>
        </w:rPr>
        <w:t>板区。</w:t>
      </w:r>
      <w:r>
        <w:rPr>
          <w:rFonts w:hint="eastAsia" w:ascii="Times New Roman" w:hAnsi="Times New Roman" w:eastAsia="仿宋_GB2312" w:cs="Times New Roman"/>
          <w:sz w:val="30"/>
          <w:szCs w:val="30"/>
        </w:rPr>
        <w:t>深入贯彻黄河流域生态保护和高质量发展重大战略，深度融入中原城市群，以撤县设市为目标，高标准打造黄淮流域生态示范区，争创河南省“三起来”示范县，成为中原城市群重要的先进制造业基地和交通物流枢纽。</w:t>
      </w:r>
    </w:p>
    <w:p>
      <w:pPr>
        <w:tabs>
          <w:tab w:val="left" w:pos="2745"/>
        </w:tabs>
        <w:spacing w:line="560" w:lineRule="exact"/>
        <w:ind w:firstLine="660"/>
        <w:rPr>
          <w:rFonts w:ascii="Times New Roman" w:hAnsi="Times New Roman" w:eastAsia="仿宋_GB2312" w:cs="Times New Roman"/>
          <w:sz w:val="30"/>
          <w:szCs w:val="30"/>
        </w:rPr>
      </w:pPr>
      <w:r>
        <w:rPr>
          <w:rFonts w:hint="eastAsia" w:ascii="楷体_GB2312" w:hAnsi="Times New Roman" w:eastAsia="楷体_GB2312" w:cs="Times New Roman"/>
          <w:sz w:val="30"/>
          <w:szCs w:val="30"/>
        </w:rPr>
        <w:t>全面接轨长三角先行区。</w:t>
      </w:r>
      <w:r>
        <w:rPr>
          <w:rFonts w:hint="eastAsia" w:ascii="Times New Roman" w:hAnsi="Times New Roman" w:eastAsia="仿宋_GB2312" w:cs="Times New Roman"/>
          <w:sz w:val="30"/>
          <w:szCs w:val="30"/>
        </w:rPr>
        <w:t>抢抓长三角区域一体化国家战略，加快推进与长三角区域的产业、资源对接和体制机制创新，主动接轨江浙沪皖等先进地区，高水平规划建设承接长三角地区产业转移示范区，建设豫东地区全接轨长三角的“桥头堡”和先行区。</w:t>
      </w:r>
    </w:p>
    <w:p>
      <w:pPr>
        <w:tabs>
          <w:tab w:val="left" w:pos="2745"/>
        </w:tabs>
        <w:spacing w:line="560" w:lineRule="exact"/>
        <w:ind w:firstLine="660"/>
        <w:rPr>
          <w:rFonts w:hint="eastAsia" w:ascii="Times New Roman" w:hAnsi="Times New Roman" w:eastAsia="仿宋_GB2312" w:cs="Times New Roman"/>
          <w:sz w:val="30"/>
          <w:szCs w:val="30"/>
        </w:rPr>
      </w:pPr>
      <w:r>
        <w:rPr>
          <w:rFonts w:hint="eastAsia" w:ascii="楷体_GB2312" w:hAnsi="Times New Roman" w:eastAsia="楷体_GB2312" w:cs="Times New Roman"/>
          <w:sz w:val="30"/>
          <w:szCs w:val="30"/>
        </w:rPr>
        <w:t>中部地区绿色智造示范区。</w:t>
      </w:r>
      <w:r>
        <w:rPr>
          <w:rFonts w:hint="eastAsia" w:ascii="Times New Roman" w:hAnsi="Times New Roman" w:eastAsia="仿宋_GB2312" w:cs="Times New Roman"/>
          <w:sz w:val="30"/>
          <w:szCs w:val="30"/>
        </w:rPr>
        <w:t>坚持规模化、集聚化、融合化、低碳化发展方向，加快产业转型升级，创新推动产业向智能化、高端化迈进，向产业链、价值链高端攀升，锻造产业链，提升价值链，培育生态链，着力构建“3+4+X”的现代产业体系，建设成为中部地区绿色智造示范区。</w:t>
      </w:r>
    </w:p>
    <w:p>
      <w:pPr>
        <w:tabs>
          <w:tab w:val="left" w:pos="2745"/>
        </w:tabs>
        <w:spacing w:line="560" w:lineRule="exact"/>
        <w:ind w:firstLine="660"/>
        <w:rPr>
          <w:rFonts w:hint="eastAsia" w:ascii="Times New Roman" w:hAnsi="Times New Roman" w:eastAsia="仿宋_GB2312" w:cs="Times New Roman"/>
          <w:b/>
          <w:bCs/>
          <w:sz w:val="30"/>
          <w:szCs w:val="30"/>
        </w:rPr>
      </w:pPr>
      <w:r>
        <w:rPr>
          <w:rFonts w:hint="eastAsia" w:ascii="Times New Roman" w:hAnsi="Times New Roman" w:eastAsia="仿宋_GB2312" w:cs="Times New Roman"/>
          <w:b/>
          <w:bCs/>
          <w:sz w:val="30"/>
          <w:szCs w:val="30"/>
        </w:rPr>
        <w:t>建设五个夏邑：</w:t>
      </w:r>
    </w:p>
    <w:p>
      <w:pPr>
        <w:tabs>
          <w:tab w:val="left" w:pos="2745"/>
        </w:tabs>
        <w:spacing w:line="560" w:lineRule="exact"/>
        <w:ind w:firstLine="660"/>
        <w:rPr>
          <w:rFonts w:hint="eastAsia" w:ascii="Times New Roman" w:hAnsi="Times New Roman" w:eastAsia="仿宋_GB2312" w:cs="Times New Roman"/>
          <w:sz w:val="30"/>
          <w:szCs w:val="30"/>
        </w:rPr>
      </w:pPr>
      <w:r>
        <w:rPr>
          <w:rFonts w:hint="eastAsia" w:ascii="楷体_GB2312" w:hAnsi="Times New Roman" w:eastAsia="楷体_GB2312" w:cs="Times New Roman"/>
          <w:sz w:val="30"/>
          <w:szCs w:val="30"/>
        </w:rPr>
        <w:t>——建设“活力夏邑”。</w:t>
      </w:r>
      <w:r>
        <w:rPr>
          <w:rFonts w:hint="eastAsia" w:ascii="Times New Roman" w:hAnsi="Times New Roman" w:eastAsia="仿宋_GB2312" w:cs="Times New Roman"/>
          <w:sz w:val="30"/>
          <w:szCs w:val="30"/>
        </w:rPr>
        <w:t>深化改革增活力，用人导向增活力，优化环境增活力。将夏邑打造成开放包容的高地，承接产业转移的洼地，使夏邑体制机制更活，发展环境更优，“双创”热情更高，让夏邑经济社会发展充满活力。</w:t>
      </w:r>
    </w:p>
    <w:p>
      <w:pPr>
        <w:tabs>
          <w:tab w:val="left" w:pos="2745"/>
        </w:tabs>
        <w:spacing w:line="560" w:lineRule="exact"/>
        <w:ind w:firstLine="660"/>
        <w:rPr>
          <w:rFonts w:hint="eastAsia" w:ascii="Times New Roman" w:hAnsi="Times New Roman" w:eastAsia="仿宋_GB2312" w:cs="Times New Roman"/>
          <w:sz w:val="30"/>
          <w:szCs w:val="30"/>
        </w:rPr>
      </w:pPr>
      <w:r>
        <w:rPr>
          <w:rFonts w:hint="eastAsia" w:ascii="楷体_GB2312" w:hAnsi="Times New Roman" w:eastAsia="楷体_GB2312" w:cs="Times New Roman"/>
          <w:sz w:val="30"/>
          <w:szCs w:val="30"/>
        </w:rPr>
        <w:t>——建设“生态夏邑”。</w:t>
      </w:r>
      <w:r>
        <w:rPr>
          <w:rFonts w:hint="eastAsia" w:ascii="Times New Roman" w:hAnsi="Times New Roman" w:eastAsia="仿宋_GB2312" w:cs="Times New Roman"/>
          <w:sz w:val="30"/>
          <w:szCs w:val="30"/>
        </w:rPr>
        <w:t>深入践行习近平生态文明思想，坚持生态优先、绿色发展，持续改善生态环境质量，推动绿色低碳转型发展，实现生态富县、生态富民，巩固“国家级园林县城”创建成果，加快“五区”融合发展，促进人与自然和谐共生。</w:t>
      </w:r>
    </w:p>
    <w:p>
      <w:pPr>
        <w:tabs>
          <w:tab w:val="left" w:pos="2745"/>
        </w:tabs>
        <w:spacing w:line="560" w:lineRule="exact"/>
        <w:ind w:firstLine="660"/>
        <w:rPr>
          <w:rFonts w:hint="eastAsia" w:ascii="Times New Roman" w:hAnsi="Times New Roman" w:eastAsia="仿宋_GB2312" w:cs="Times New Roman"/>
          <w:sz w:val="30"/>
          <w:szCs w:val="30"/>
        </w:rPr>
      </w:pPr>
      <w:r>
        <w:rPr>
          <w:rFonts w:hint="eastAsia" w:ascii="楷体_GB2312" w:hAnsi="Times New Roman" w:eastAsia="楷体_GB2312" w:cs="Times New Roman"/>
          <w:sz w:val="30"/>
          <w:szCs w:val="30"/>
        </w:rPr>
        <w:t>——建设“诚信夏邑”。</w:t>
      </w:r>
      <w:r>
        <w:rPr>
          <w:rFonts w:hint="eastAsia" w:ascii="Times New Roman" w:hAnsi="Times New Roman" w:eastAsia="仿宋_GB2312" w:cs="Times New Roman"/>
          <w:sz w:val="30"/>
          <w:szCs w:val="30"/>
        </w:rPr>
        <w:t>加强社会信用体系建设，营造诚信光荣、失信可耻的浓郁氛围，以法治优化营商环境、强化基层治理、打造诚信社会、增进民生福祉。建设诚信政府，打造诚信企业，培育诚信个人，为现代化文明城市建设奠定诚信基础。</w:t>
      </w:r>
    </w:p>
    <w:p>
      <w:pPr>
        <w:tabs>
          <w:tab w:val="left" w:pos="2745"/>
        </w:tabs>
        <w:spacing w:line="560" w:lineRule="exact"/>
        <w:ind w:firstLine="660"/>
        <w:rPr>
          <w:rFonts w:hint="eastAsia" w:ascii="Times New Roman" w:hAnsi="Times New Roman" w:eastAsia="仿宋_GB2312" w:cs="Times New Roman"/>
          <w:sz w:val="30"/>
          <w:szCs w:val="30"/>
        </w:rPr>
      </w:pPr>
      <w:r>
        <w:rPr>
          <w:rFonts w:hint="eastAsia" w:ascii="楷体_GB2312" w:hAnsi="Times New Roman" w:eastAsia="楷体_GB2312" w:cs="Times New Roman"/>
          <w:sz w:val="30"/>
          <w:szCs w:val="30"/>
        </w:rPr>
        <w:t>——建设“和美夏邑”。</w:t>
      </w:r>
      <w:r>
        <w:rPr>
          <w:rFonts w:hint="eastAsia" w:ascii="Times New Roman" w:hAnsi="Times New Roman" w:eastAsia="仿宋_GB2312" w:cs="Times New Roman"/>
          <w:sz w:val="30"/>
          <w:szCs w:val="30"/>
        </w:rPr>
        <w:t>全面实施乡村振兴战略，建设美丽乡村，扮靓乡村优美环境。加强创新社会治理，学习和推广新时代“枫桥经验”，运用法治方式推动发展、化解矛盾、维护稳定、应对风险，融洽党群干群关系，绘就共建共治共享的和美新图景。</w:t>
      </w:r>
    </w:p>
    <w:p>
      <w:pPr>
        <w:tabs>
          <w:tab w:val="left" w:pos="2745"/>
        </w:tabs>
        <w:spacing w:line="560" w:lineRule="exact"/>
        <w:ind w:firstLine="660"/>
        <w:rPr>
          <w:rFonts w:hint="eastAsia" w:ascii="Times New Roman" w:hAnsi="Times New Roman" w:eastAsia="仿宋_GB2312" w:cs="Times New Roman"/>
          <w:sz w:val="30"/>
          <w:szCs w:val="30"/>
        </w:rPr>
      </w:pPr>
      <w:r>
        <w:rPr>
          <w:rFonts w:hint="eastAsia" w:ascii="楷体_GB2312" w:hAnsi="Times New Roman" w:eastAsia="楷体_GB2312" w:cs="Times New Roman"/>
          <w:sz w:val="30"/>
          <w:szCs w:val="30"/>
        </w:rPr>
        <w:t>——建设“长寿夏邑”。</w:t>
      </w:r>
      <w:r>
        <w:rPr>
          <w:rFonts w:hint="eastAsia" w:ascii="仿宋_GB2312" w:hAnsi="Times New Roman" w:eastAsia="仿宋_GB2312" w:cs="Times New Roman"/>
          <w:sz w:val="30"/>
          <w:szCs w:val="30"/>
        </w:rPr>
        <w:t>坚</w:t>
      </w:r>
      <w:r>
        <w:rPr>
          <w:rFonts w:hint="eastAsia" w:ascii="Times New Roman" w:hAnsi="Times New Roman" w:eastAsia="仿宋_GB2312" w:cs="Times New Roman"/>
          <w:sz w:val="30"/>
          <w:szCs w:val="30"/>
        </w:rPr>
        <w:t>定文化自信，挖掘弘扬孔祖文化、儒家文化、长寿文化潜力，打造儒家文化的寻根之旅，创建文旅强县，争创省级文明城市。喝夏邑长寿水、吃夏邑长寿面，居夏邑长寿村，做夏邑长寿人，全面提升夏邑知名度和影响力。</w:t>
      </w:r>
    </w:p>
    <w:p>
      <w:pPr>
        <w:tabs>
          <w:tab w:val="left" w:pos="2745"/>
        </w:tabs>
        <w:spacing w:line="560" w:lineRule="exact"/>
        <w:ind w:firstLine="66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按照我县发展定位，锚定二</w:t>
      </w:r>
      <w:r>
        <w:rPr>
          <w:rFonts w:hint="eastAsia" w:ascii="微软雅黑" w:hAnsi="微软雅黑" w:eastAsia="微软雅黑" w:cs="微软雅黑"/>
          <w:sz w:val="30"/>
          <w:szCs w:val="30"/>
        </w:rPr>
        <w:t>〇</w:t>
      </w:r>
      <w:r>
        <w:rPr>
          <w:rFonts w:hint="eastAsia" w:ascii="仿宋_GB2312" w:hAnsi="仿宋_GB2312" w:eastAsia="仿宋_GB2312" w:cs="仿宋_GB2312"/>
          <w:sz w:val="30"/>
          <w:szCs w:val="30"/>
        </w:rPr>
        <w:t>三五年</w:t>
      </w:r>
      <w:r>
        <w:rPr>
          <w:rFonts w:hint="eastAsia" w:ascii="Times New Roman" w:hAnsi="Times New Roman" w:eastAsia="仿宋_GB2312" w:cs="Times New Roman"/>
          <w:sz w:val="30"/>
          <w:szCs w:val="30"/>
        </w:rPr>
        <w:t>远景目标，综合考虑外部形势和发展条件，“十四五”时期要拉高标杆、赶超发展，确保实现以下主要目标：</w:t>
      </w:r>
    </w:p>
    <w:p>
      <w:pPr>
        <w:snapToGrid w:val="0"/>
        <w:spacing w:line="560" w:lineRule="exac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经济实力显著增强。</w:t>
      </w:r>
      <w:r>
        <w:rPr>
          <w:rFonts w:hint="eastAsia" w:ascii="Times New Roman" w:hAnsi="Times New Roman" w:eastAsia="仿宋_GB2312" w:cs="Times New Roman"/>
          <w:bCs/>
          <w:sz w:val="30"/>
          <w:szCs w:val="30"/>
        </w:rPr>
        <w:t>经济发展保持稳中有进态势，主要经济指标年均增速高于全省平均水平、人均指标高于商丘市平均水平，经济质量和效益明显提高。主导产业不断壮大，新兴产业快速发展。产业集聚区能级进一步提升、集群效应进一步凸显。到</w:t>
      </w:r>
      <w:r>
        <w:rPr>
          <w:rFonts w:ascii="Times New Roman" w:hAnsi="Times New Roman" w:eastAsia="仿宋_GB2312" w:cs="Times New Roman"/>
          <w:bCs/>
          <w:sz w:val="30"/>
          <w:szCs w:val="30"/>
        </w:rPr>
        <w:t>2025</w:t>
      </w:r>
      <w:r>
        <w:rPr>
          <w:rFonts w:hint="eastAsia" w:ascii="Times New Roman" w:hAnsi="Times New Roman" w:eastAsia="仿宋_GB2312" w:cs="Times New Roman"/>
          <w:bCs/>
          <w:sz w:val="30"/>
          <w:szCs w:val="30"/>
        </w:rPr>
        <w:t>年，地区生产总值达到</w:t>
      </w:r>
      <w:r>
        <w:rPr>
          <w:rFonts w:hint="eastAsia" w:ascii="Times New Roman" w:hAnsi="Times New Roman" w:eastAsia="仿宋_GB2312" w:cs="Times New Roman"/>
          <w:bCs/>
          <w:sz w:val="30"/>
          <w:szCs w:val="30"/>
          <w:lang w:val="en-US" w:eastAsia="zh-CN"/>
        </w:rPr>
        <w:t>500</w:t>
      </w:r>
      <w:r>
        <w:rPr>
          <w:rFonts w:hint="eastAsia" w:ascii="Times New Roman" w:hAnsi="Times New Roman" w:eastAsia="仿宋_GB2312" w:cs="Times New Roman"/>
          <w:bCs/>
          <w:sz w:val="30"/>
          <w:szCs w:val="30"/>
        </w:rPr>
        <w:t>亿元，</w:t>
      </w:r>
      <w:r>
        <w:rPr>
          <w:rFonts w:hint="eastAsia" w:ascii="Times New Roman" w:hAnsi="Times New Roman" w:eastAsia="仿宋_GB2312" w:cs="Times New Roman"/>
          <w:kern w:val="0"/>
          <w:sz w:val="30"/>
          <w:szCs w:val="30"/>
        </w:rPr>
        <w:t>经济质量和效益明显提高，全员劳动生产率提高到</w:t>
      </w:r>
      <w:r>
        <w:rPr>
          <w:rFonts w:ascii="Times New Roman" w:hAnsi="Times New Roman" w:eastAsia="仿宋_GB2312" w:cs="Times New Roman"/>
          <w:kern w:val="0"/>
          <w:sz w:val="30"/>
          <w:szCs w:val="30"/>
        </w:rPr>
        <w:t>10</w:t>
      </w:r>
      <w:r>
        <w:rPr>
          <w:rFonts w:hint="eastAsia" w:ascii="Times New Roman" w:hAnsi="Times New Roman" w:eastAsia="仿宋_GB2312" w:cs="Times New Roman"/>
          <w:kern w:val="0"/>
          <w:sz w:val="30"/>
          <w:szCs w:val="30"/>
        </w:rPr>
        <w:t>万元</w:t>
      </w:r>
      <w:r>
        <w:rPr>
          <w:rFonts w:ascii="Times New Roman" w:hAnsi="Times New Roman" w:eastAsia="仿宋_GB2312" w:cs="Times New Roman"/>
          <w:kern w:val="0"/>
          <w:sz w:val="30"/>
          <w:szCs w:val="30"/>
        </w:rPr>
        <w:t>/</w:t>
      </w:r>
      <w:r>
        <w:rPr>
          <w:rFonts w:hint="eastAsia" w:ascii="Times New Roman" w:hAnsi="Times New Roman" w:eastAsia="仿宋_GB2312" w:cs="Times New Roman"/>
          <w:kern w:val="0"/>
          <w:sz w:val="30"/>
          <w:szCs w:val="30"/>
        </w:rPr>
        <w:t>人</w:t>
      </w:r>
      <w:r>
        <w:rPr>
          <w:rFonts w:hint="eastAsia" w:ascii="Times New Roman" w:hAnsi="Times New Roman" w:eastAsia="仿宋_GB2312" w:cs="Times New Roman"/>
          <w:sz w:val="30"/>
          <w:szCs w:val="30"/>
        </w:rPr>
        <w:t>。</w:t>
      </w:r>
    </w:p>
    <w:p>
      <w:pPr>
        <w:snapToGrid w:val="0"/>
        <w:spacing w:line="560" w:lineRule="exac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bCs/>
          <w:sz w:val="30"/>
          <w:szCs w:val="30"/>
        </w:rPr>
        <w:t>创新能力显著提高。</w:t>
      </w:r>
      <w:r>
        <w:rPr>
          <w:rFonts w:hint="eastAsia" w:ascii="Times New Roman" w:hAnsi="Times New Roman" w:eastAsia="仿宋_GB2312" w:cs="Times New Roman"/>
          <w:sz w:val="30"/>
          <w:szCs w:val="30"/>
        </w:rPr>
        <w:t>创新链与产业链深度融合，创新生态持续优化，重大创新平台打造取得重大突破，研发投入规模大幅提升，数字赋能全面推进，创新驱动发展进一步强化，主要指标进入全省前列，创新型城市建设取得重大进展。到</w:t>
      </w:r>
      <w:r>
        <w:rPr>
          <w:rFonts w:ascii="Times New Roman" w:hAnsi="Times New Roman" w:eastAsia="仿宋_GB2312" w:cs="Times New Roman"/>
          <w:sz w:val="30"/>
          <w:szCs w:val="30"/>
        </w:rPr>
        <w:t>2025</w:t>
      </w:r>
      <w:r>
        <w:rPr>
          <w:rFonts w:hint="eastAsia" w:ascii="Times New Roman" w:hAnsi="Times New Roman" w:eastAsia="仿宋_GB2312" w:cs="Times New Roman"/>
          <w:sz w:val="30"/>
          <w:szCs w:val="30"/>
        </w:rPr>
        <w:t>年，全县</w:t>
      </w:r>
      <w:r>
        <w:rPr>
          <w:rFonts w:ascii="Times New Roman" w:hAnsi="Times New Roman" w:eastAsia="仿宋_GB2312" w:cs="Times New Roman"/>
          <w:sz w:val="30"/>
          <w:szCs w:val="30"/>
        </w:rPr>
        <w:t>R&amp;D</w:t>
      </w:r>
      <w:r>
        <w:rPr>
          <w:rFonts w:hint="eastAsia" w:ascii="Times New Roman" w:hAnsi="Times New Roman" w:eastAsia="仿宋_GB2312" w:cs="Times New Roman"/>
          <w:sz w:val="30"/>
          <w:szCs w:val="30"/>
        </w:rPr>
        <w:t>经费支出占生产总值比例达到</w:t>
      </w: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，每万人发明专利拥有量达到</w:t>
      </w:r>
      <w:r>
        <w:rPr>
          <w:rFonts w:ascii="Times New Roman" w:hAnsi="Times New Roman" w:eastAsia="仿宋_GB2312" w:cs="Times New Roman"/>
          <w:sz w:val="30"/>
          <w:szCs w:val="30"/>
        </w:rPr>
        <w:t>3</w:t>
      </w:r>
      <w:r>
        <w:rPr>
          <w:rFonts w:hint="eastAsia" w:ascii="Times New Roman" w:hAnsi="Times New Roman" w:eastAsia="仿宋_GB2312" w:cs="Times New Roman"/>
          <w:sz w:val="30"/>
          <w:szCs w:val="30"/>
        </w:rPr>
        <w:t>件以上，科技进步贡献率达到</w:t>
      </w:r>
      <w:r>
        <w:rPr>
          <w:rFonts w:ascii="Times New Roman" w:hAnsi="Times New Roman" w:eastAsia="仿宋_GB2312" w:cs="Times New Roman"/>
          <w:sz w:val="30"/>
          <w:szCs w:val="30"/>
        </w:rPr>
        <w:t>55%</w:t>
      </w:r>
      <w:r>
        <w:rPr>
          <w:rFonts w:hint="eastAsia" w:ascii="Times New Roman" w:hAnsi="Times New Roman" w:eastAsia="仿宋_GB2312" w:cs="Times New Roman"/>
          <w:sz w:val="30"/>
          <w:szCs w:val="30"/>
        </w:rPr>
        <w:t>以上。</w:t>
      </w:r>
    </w:p>
    <w:p>
      <w:pPr>
        <w:snapToGrid w:val="0"/>
        <w:spacing w:line="560" w:lineRule="exac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开放融合显著拓展。</w:t>
      </w:r>
      <w:r>
        <w:rPr>
          <w:rFonts w:hint="eastAsia" w:ascii="Times New Roman" w:hAnsi="Times New Roman" w:eastAsia="仿宋_GB2312" w:cs="Times New Roman"/>
          <w:sz w:val="30"/>
          <w:szCs w:val="30"/>
        </w:rPr>
        <w:t>全方位融入黄河流域生态保护和高质量发展，全面接轨长三角区域一体化发展，跨区域产业合作平台和合作机制建设取得明显成效。内需市场全面拓展，开放型经济质量持续提高，成为全省构筑新发展格局、打造内陆开放高地的重要节点城市。“十四五”期间，累计完成实际利用境外资金2.5亿美元，实际利用省外资金550亿元，出口创汇2.3亿美元。</w:t>
      </w:r>
    </w:p>
    <w:p>
      <w:pPr>
        <w:snapToGrid w:val="0"/>
        <w:spacing w:line="560" w:lineRule="exac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bCs/>
          <w:sz w:val="30"/>
          <w:szCs w:val="30"/>
        </w:rPr>
        <w:t>营商环境显著优化。</w:t>
      </w:r>
      <w:r>
        <w:rPr>
          <w:rFonts w:hint="eastAsia" w:ascii="Times New Roman" w:hAnsi="Times New Roman" w:eastAsia="仿宋_GB2312" w:cs="Times New Roman"/>
          <w:sz w:val="30"/>
          <w:szCs w:val="30"/>
        </w:rPr>
        <w:t>投资贸易环境、创业创新环境、产业发展环境、政务服务环境、法治保障环境全面优化。“一网通办”全面实现，政府服务事项“掌上办事”覆盖率达到</w:t>
      </w:r>
      <w:r>
        <w:rPr>
          <w:rFonts w:ascii="Times New Roman" w:hAnsi="Times New Roman" w:eastAsia="仿宋_GB2312" w:cs="Times New Roman"/>
          <w:sz w:val="30"/>
          <w:szCs w:val="30"/>
        </w:rPr>
        <w:t>90%</w:t>
      </w:r>
      <w:r>
        <w:rPr>
          <w:rFonts w:hint="eastAsia" w:ascii="Times New Roman" w:hAnsi="Times New Roman" w:eastAsia="仿宋_GB2312" w:cs="Times New Roman"/>
          <w:sz w:val="30"/>
          <w:szCs w:val="30"/>
        </w:rPr>
        <w:t>以上，营商环境指数居全省前列，营商环境达到全省一流。</w:t>
      </w:r>
    </w:p>
    <w:p>
      <w:pPr>
        <w:snapToGrid w:val="0"/>
        <w:spacing w:line="560" w:lineRule="exact"/>
        <w:ind w:firstLine="602" w:firstLineChars="200"/>
        <w:rPr>
          <w:rFonts w:hint="eastAsia" w:ascii="Times New Roman" w:hAnsi="Times New Roman" w:eastAsia="仿宋_GB2312" w:cs="Times New Roman"/>
          <w:sz w:val="30"/>
          <w:szCs w:val="30"/>
        </w:rPr>
      </w:pPr>
      <w:r>
        <w:rPr>
          <w:rFonts w:hint="eastAsia" w:ascii="仿宋_GB2312" w:hAnsi="仿宋_GB2312" w:eastAsia="仿宋_GB2312" w:cs="仿宋_GB2312"/>
          <w:b/>
          <w:bCs/>
          <w:sz w:val="30"/>
          <w:szCs w:val="30"/>
        </w:rPr>
        <w:t>乡村振兴显著突破。</w:t>
      </w:r>
      <w:r>
        <w:rPr>
          <w:rFonts w:hint="eastAsia" w:ascii="仿宋_GB2312" w:hAnsi="仿宋_GB2312" w:eastAsia="仿宋_GB2312" w:cs="仿宋_GB2312"/>
          <w:sz w:val="30"/>
          <w:szCs w:val="30"/>
        </w:rPr>
        <w:t>乡村产业、人才、文化、生态、组织振兴深入推进，超级产粮大县王牌越擦越亮，农村一二三产业全面融合发展，农业质量效益和竞争力明显提高，农村人居环境和基础设施显著改善，农业农村现代化走在全省前列。</w:t>
      </w:r>
    </w:p>
    <w:p>
      <w:pPr>
        <w:snapToGrid w:val="0"/>
        <w:spacing w:line="560" w:lineRule="exact"/>
        <w:ind w:firstLine="602"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b/>
          <w:sz w:val="30"/>
          <w:szCs w:val="30"/>
        </w:rPr>
        <w:t>民生福祉显著提升。</w:t>
      </w:r>
      <w:r>
        <w:rPr>
          <w:rFonts w:hint="eastAsia" w:ascii="Times New Roman" w:hAnsi="Times New Roman" w:eastAsia="仿宋_GB2312" w:cs="Times New Roman"/>
          <w:sz w:val="30"/>
          <w:szCs w:val="30"/>
        </w:rPr>
        <w:t>城乡居民生活更加富裕，收入水平保持全省前列，城乡居民收入比缩小至</w:t>
      </w: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左右。农业农村加快振兴，城乡融合发展机制更为健全，常住人口城镇</w:t>
      </w:r>
      <w:r>
        <w:rPr>
          <w:rFonts w:hint="eastAsia" w:ascii="Times New Roman" w:hAnsi="Times New Roman" w:eastAsia="仿宋_GB2312" w:cs="Times New Roman"/>
          <w:kern w:val="0"/>
          <w:sz w:val="30"/>
          <w:szCs w:val="30"/>
        </w:rPr>
        <w:t>化率达到</w:t>
      </w:r>
      <w:r>
        <w:rPr>
          <w:rFonts w:ascii="Times New Roman" w:hAnsi="Times New Roman" w:eastAsia="仿宋_GB2312" w:cs="Times New Roman"/>
          <w:kern w:val="0"/>
          <w:sz w:val="30"/>
          <w:szCs w:val="30"/>
        </w:rPr>
        <w:t>60%</w:t>
      </w:r>
      <w:r>
        <w:rPr>
          <w:rFonts w:hint="eastAsia" w:ascii="Times New Roman" w:hAnsi="Times New Roman" w:eastAsia="仿宋_GB2312" w:cs="Times New Roman"/>
          <w:kern w:val="0"/>
          <w:sz w:val="30"/>
          <w:szCs w:val="30"/>
        </w:rPr>
        <w:t>左右。人口和就业保持稳定，城镇新增就业5万人，城镇登记失业率控制在4.5%以内。民生服务更加优质均衡，全民受教育程度进一步提升，文化事业和文化产业取得积极进展，多层次社会保障全覆盖可持续，建立健康积极的老龄化应对体系，人民群众的获得感和幸福感更加充实。</w:t>
      </w:r>
    </w:p>
    <w:p>
      <w:pPr>
        <w:snapToGrid w:val="0"/>
        <w:spacing w:line="560" w:lineRule="exac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生态环境显著向好。</w:t>
      </w:r>
      <w:r>
        <w:rPr>
          <w:rFonts w:hint="eastAsia" w:ascii="Times New Roman" w:hAnsi="Times New Roman" w:eastAsia="仿宋_GB2312" w:cs="Times New Roman"/>
          <w:sz w:val="30"/>
          <w:szCs w:val="30"/>
        </w:rPr>
        <w:t>深入践行“绿水青山就是金山银山”理念，</w:t>
      </w:r>
      <w:r>
        <w:rPr>
          <w:rFonts w:ascii="Times New Roman" w:hAnsi="Times New Roman" w:eastAsia="仿宋_GB2312" w:cs="Times New Roman"/>
          <w:sz w:val="30"/>
          <w:szCs w:val="30"/>
        </w:rPr>
        <w:t>PM</w:t>
      </w:r>
      <w:r>
        <w:rPr>
          <w:rFonts w:ascii="Times New Roman" w:hAnsi="Times New Roman" w:eastAsia="仿宋_GB2312" w:cs="Times New Roman"/>
          <w:sz w:val="30"/>
          <w:szCs w:val="30"/>
          <w:vertAlign w:val="subscript"/>
        </w:rPr>
        <w:t>2.5</w:t>
      </w:r>
      <w:r>
        <w:rPr>
          <w:rFonts w:hint="eastAsia" w:ascii="Times New Roman" w:hAnsi="Times New Roman" w:eastAsia="仿宋_GB2312" w:cs="Times New Roman"/>
          <w:sz w:val="30"/>
          <w:szCs w:val="30"/>
        </w:rPr>
        <w:t>平均浓度、主要污染物排放总量持续下降，能源资源开发利用效率提升。美丽乡村建设走在全省前列。</w:t>
      </w:r>
    </w:p>
    <w:p>
      <w:pPr>
        <w:snapToGrid w:val="0"/>
        <w:spacing w:line="560" w:lineRule="exac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bCs/>
          <w:sz w:val="30"/>
          <w:szCs w:val="30"/>
        </w:rPr>
        <w:t>治理水平显著提升。</w:t>
      </w:r>
      <w:r>
        <w:rPr>
          <w:rFonts w:hint="eastAsia" w:ascii="Times New Roman" w:hAnsi="Times New Roman" w:eastAsia="仿宋_GB2312" w:cs="Times New Roman"/>
          <w:kern w:val="0"/>
          <w:sz w:val="30"/>
          <w:szCs w:val="30"/>
        </w:rPr>
        <w:t>社会治理社会化、法治化、智能化、专业化水平全面提升，社会秩序更加良好、公平正义更加彰显，平安法治更加健全，防范化解重大风险体制机制不断完善，应急管理体系更加健全，争取成为全省县域治理现代化排头兵。</w:t>
      </w:r>
    </w:p>
    <w:p>
      <w:pPr>
        <w:pStyle w:val="4"/>
        <w:keepNext w:val="0"/>
        <w:keepLines w:val="0"/>
        <w:spacing w:before="120" w:after="120" w:line="560" w:lineRule="exact"/>
        <w:ind w:firstLine="640" w:firstLineChars="200"/>
        <w:rPr>
          <w:rFonts w:ascii="Times New Roman" w:hAnsi="Times New Roman" w:eastAsia="楷体"/>
          <w:b w:val="0"/>
          <w:bCs w:val="0"/>
        </w:rPr>
      </w:pPr>
      <w:bookmarkStart w:id="12" w:name="_Toc59921172"/>
      <w:bookmarkStart w:id="13" w:name="_Toc65060501"/>
      <w:r>
        <w:rPr>
          <w:rFonts w:hint="eastAsia" w:ascii="Times New Roman" w:hAnsi="Times New Roman" w:eastAsia="楷体"/>
          <w:b w:val="0"/>
          <w:bCs w:val="0"/>
        </w:rPr>
        <w:t>（五）到</w:t>
      </w:r>
      <w:r>
        <w:rPr>
          <w:rFonts w:ascii="Times New Roman" w:hAnsi="Times New Roman" w:eastAsia="楷体"/>
          <w:b w:val="0"/>
          <w:bCs w:val="0"/>
        </w:rPr>
        <w:t>2035</w:t>
      </w:r>
      <w:r>
        <w:rPr>
          <w:rFonts w:hint="eastAsia" w:ascii="Times New Roman" w:hAnsi="Times New Roman" w:eastAsia="楷体"/>
          <w:b w:val="0"/>
          <w:bCs w:val="0"/>
        </w:rPr>
        <w:t>年高水平基本实现现代化的远景目标</w:t>
      </w:r>
      <w:bookmarkEnd w:id="12"/>
      <w:bookmarkEnd w:id="13"/>
    </w:p>
    <w:p>
      <w:pPr>
        <w:tabs>
          <w:tab w:val="left" w:pos="2745"/>
        </w:tabs>
        <w:spacing w:line="560" w:lineRule="exact"/>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展望二</w:t>
      </w:r>
      <w:r>
        <w:rPr>
          <w:rFonts w:hint="eastAsia" w:ascii="微软雅黑" w:hAnsi="微软雅黑" w:eastAsia="微软雅黑" w:cs="微软雅黑"/>
          <w:kern w:val="0"/>
          <w:sz w:val="30"/>
          <w:szCs w:val="30"/>
        </w:rPr>
        <w:t>〇</w:t>
      </w:r>
      <w:r>
        <w:rPr>
          <w:rFonts w:hint="eastAsia" w:ascii="仿宋_GB2312" w:hAnsi="仿宋_GB2312" w:eastAsia="仿宋_GB2312" w:cs="仿宋_GB2312"/>
          <w:kern w:val="0"/>
          <w:sz w:val="30"/>
          <w:szCs w:val="30"/>
        </w:rPr>
        <w:t>三五年，我县基本实现社会主义现代化，综合经济实力大幅跃升，经济总量和城乡居民人均收入迈上新的</w:t>
      </w:r>
      <w:r>
        <w:rPr>
          <w:rFonts w:hint="eastAsia" w:ascii="Times New Roman" w:hAnsi="Times New Roman" w:eastAsia="仿宋_GB2312" w:cs="Times New Roman"/>
          <w:kern w:val="0"/>
          <w:sz w:val="30"/>
          <w:szCs w:val="30"/>
        </w:rPr>
        <w:t>台阶，人均国内生产总值在全国、全省位置明显上升，中等收入群体显著扩大；基本建成创新型城市，基本实现新型工业化、信息化、城镇化、农业现代化；基本实现县域治理体系和治理能力现代化，人民平等参与、平等发展的权利得到充分保障，基本建成法治政府、法治社会，法治夏邑建设达到更高水平；建成文化强县、教育强县、人才强县、健康强县，全民素质和社会文明程度达到新高度，城市文化软实力显著增强；生态环境实现根本好转，人与自然和谐发展新格局基本形成；基本公共服务实现均等化，城乡区域发展差距和居民生活水平差距显著缩小；人民生活更加美好，全体人民共同富裕取得更为明显的实质性进展。综合实力进入全省前30强，成为国内一流的产业高质量发展强县、治理现代化标杆县、美丽生态美好生活示范县。</w:t>
      </w:r>
    </w:p>
    <w:p>
      <w:pPr>
        <w:tabs>
          <w:tab w:val="left" w:pos="2745"/>
        </w:tabs>
        <w:spacing w:line="560" w:lineRule="exact"/>
        <w:ind w:firstLine="602" w:firstLineChars="200"/>
        <w:rPr>
          <w:rFonts w:hint="eastAsia" w:ascii="Times New Roman" w:hAnsi="Times New Roman" w:eastAsia="仿宋_GB2312" w:cs="Times New Roman"/>
          <w:kern w:val="0"/>
          <w:sz w:val="30"/>
          <w:szCs w:val="30"/>
        </w:rPr>
      </w:pPr>
      <w:r>
        <w:rPr>
          <w:rFonts w:hint="eastAsia" w:ascii="Times New Roman" w:hAnsi="Times New Roman" w:eastAsia="仿宋_GB2312" w:cs="Times New Roman"/>
          <w:b/>
          <w:bCs/>
          <w:kern w:val="0"/>
          <w:sz w:val="30"/>
          <w:szCs w:val="30"/>
        </w:rPr>
        <w:t>——产业高质量发展强县。</w:t>
      </w:r>
      <w:r>
        <w:rPr>
          <w:rFonts w:hint="eastAsia" w:ascii="Times New Roman" w:hAnsi="Times New Roman" w:eastAsia="仿宋_GB2312" w:cs="Times New Roman"/>
          <w:kern w:val="0"/>
          <w:sz w:val="30"/>
          <w:szCs w:val="30"/>
        </w:rPr>
        <w:t>经济综合实力和质量效益大幅提升，形成具有较强竞争力的现代产业体系，基本实现新型工业化、信息化、城镇化、农业现代化，全面建成现代产业发展样板县。</w:t>
      </w:r>
    </w:p>
    <w:p>
      <w:pPr>
        <w:tabs>
          <w:tab w:val="left" w:pos="2745"/>
        </w:tabs>
        <w:spacing w:line="560" w:lineRule="exact"/>
        <w:ind w:firstLine="602" w:firstLineChars="200"/>
        <w:rPr>
          <w:rFonts w:hint="eastAsia" w:ascii="Times New Roman" w:hAnsi="Times New Roman" w:eastAsia="仿宋_GB2312" w:cs="Times New Roman"/>
          <w:kern w:val="0"/>
          <w:sz w:val="30"/>
          <w:szCs w:val="30"/>
        </w:rPr>
      </w:pPr>
      <w:r>
        <w:rPr>
          <w:rFonts w:hint="eastAsia" w:ascii="Times New Roman" w:hAnsi="Times New Roman" w:eastAsia="仿宋_GB2312" w:cs="Times New Roman"/>
          <w:b/>
          <w:bCs/>
          <w:kern w:val="0"/>
          <w:sz w:val="30"/>
          <w:szCs w:val="30"/>
        </w:rPr>
        <w:t>——治理现代化标杆县。</w:t>
      </w:r>
      <w:r>
        <w:rPr>
          <w:rFonts w:hint="eastAsia" w:ascii="Times New Roman" w:hAnsi="Times New Roman" w:eastAsia="仿宋_GB2312" w:cs="Times New Roman"/>
          <w:kern w:val="0"/>
          <w:sz w:val="30"/>
          <w:szCs w:val="30"/>
        </w:rPr>
        <w:t>全面实现县域治理现代化，建立自治、法治、德治高度融合的治理机制，政治清明、干部清正、民风清朗，建成更高水平的法治夏邑、平安夏邑。</w:t>
      </w:r>
    </w:p>
    <w:p>
      <w:pPr>
        <w:tabs>
          <w:tab w:val="left" w:pos="2745"/>
        </w:tabs>
        <w:spacing w:line="560" w:lineRule="exact"/>
        <w:ind w:firstLine="602" w:firstLineChars="200"/>
        <w:rPr>
          <w:rFonts w:hint="eastAsia" w:ascii="Times New Roman" w:hAnsi="Times New Roman" w:eastAsia="仿宋_GB2312" w:cs="Times New Roman"/>
          <w:kern w:val="0"/>
          <w:sz w:val="30"/>
          <w:szCs w:val="30"/>
        </w:rPr>
      </w:pPr>
      <w:r>
        <w:rPr>
          <w:rFonts w:hint="eastAsia" w:ascii="Times New Roman" w:hAnsi="Times New Roman" w:eastAsia="仿宋_GB2312" w:cs="Times New Roman"/>
          <w:b/>
          <w:bCs/>
          <w:kern w:val="0"/>
          <w:sz w:val="30"/>
          <w:szCs w:val="30"/>
        </w:rPr>
        <w:t>——美丽生态美好生活示范县。</w:t>
      </w:r>
      <w:r>
        <w:rPr>
          <w:rFonts w:hint="eastAsia" w:ascii="Times New Roman" w:hAnsi="Times New Roman" w:eastAsia="仿宋_GB2312" w:cs="Times New Roman"/>
          <w:kern w:val="0"/>
          <w:sz w:val="30"/>
          <w:szCs w:val="30"/>
        </w:rPr>
        <w:t>全面呈现天蓝、水清、地净的生态图景。文化引领力、传播力、服务力、竞争力更强，居民道德素质和文明程度更高，共同富裕取得实质性进展，建成国内高品质生态和人文宜居胜地。</w:t>
      </w:r>
    </w:p>
    <w:p>
      <w:pPr>
        <w:tabs>
          <w:tab w:val="left" w:pos="2745"/>
        </w:tabs>
        <w:spacing w:line="560" w:lineRule="exact"/>
        <w:ind w:firstLine="600" w:firstLineChars="200"/>
        <w:rPr>
          <w:rFonts w:ascii="Times New Roman" w:hAnsi="Times New Roman" w:eastAsia="仿宋_GB2312" w:cs="Times New Roman"/>
          <w:kern w:val="0"/>
          <w:sz w:val="30"/>
          <w:szCs w:val="30"/>
        </w:rPr>
        <w:sectPr>
          <w:pgSz w:w="11906" w:h="16838"/>
          <w:pgMar w:top="1440" w:right="1800" w:bottom="1440" w:left="1800" w:header="851" w:footer="992" w:gutter="0"/>
          <w:pgNumType w:start="1"/>
          <w:cols w:space="425" w:num="1"/>
          <w:docGrid w:type="lines" w:linePitch="312" w:charSpace="0"/>
        </w:sectPr>
      </w:pPr>
    </w:p>
    <w:p>
      <w:pPr>
        <w:spacing w:before="156" w:beforeLines="50" w:after="156" w:afterLines="50"/>
        <w:ind w:firstLine="640" w:firstLineChars="200"/>
        <w:outlineLvl w:val="0"/>
        <w:rPr>
          <w:rFonts w:ascii="Times New Roman" w:hAnsi="Times New Roman" w:eastAsia="黑体" w:cs="Times New Roman"/>
          <w:sz w:val="32"/>
          <w:szCs w:val="32"/>
        </w:rPr>
      </w:pPr>
      <w:bookmarkStart w:id="14" w:name="_Toc59921173"/>
      <w:bookmarkStart w:id="15" w:name="_Toc65060502"/>
      <w:r>
        <w:rPr>
          <w:rFonts w:hint="eastAsia" w:ascii="Times New Roman" w:hAnsi="Times New Roman" w:eastAsia="黑体" w:cs="Times New Roman"/>
          <w:sz w:val="32"/>
          <w:szCs w:val="32"/>
        </w:rPr>
        <w:t>二、</w:t>
      </w:r>
      <w:bookmarkStart w:id="16" w:name="_Hlk59016634"/>
      <w:bookmarkStart w:id="17" w:name="_Hlk59990719"/>
      <w:r>
        <w:rPr>
          <w:rFonts w:hint="eastAsia" w:ascii="Times New Roman" w:hAnsi="Times New Roman" w:eastAsia="黑体" w:cs="Times New Roman"/>
          <w:sz w:val="32"/>
          <w:szCs w:val="32"/>
        </w:rPr>
        <w:t>全面推进融合联动发展，</w:t>
      </w:r>
      <w:bookmarkEnd w:id="14"/>
      <w:bookmarkEnd w:id="16"/>
      <w:r>
        <w:rPr>
          <w:rFonts w:hint="eastAsia" w:ascii="Times New Roman" w:hAnsi="Times New Roman" w:eastAsia="黑体" w:cs="Times New Roman"/>
          <w:sz w:val="32"/>
          <w:szCs w:val="32"/>
        </w:rPr>
        <w:t>构建区域协调发展新</w:t>
      </w:r>
      <w:bookmarkEnd w:id="17"/>
      <w:r>
        <w:rPr>
          <w:rFonts w:hint="eastAsia" w:ascii="Times New Roman" w:hAnsi="Times New Roman" w:eastAsia="黑体" w:cs="Times New Roman"/>
          <w:sz w:val="32"/>
          <w:szCs w:val="32"/>
        </w:rPr>
        <w:t>机制</w:t>
      </w:r>
      <w:bookmarkEnd w:id="15"/>
    </w:p>
    <w:p>
      <w:pPr>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深入贯彻黄河流域生态保护和高质量发展战略，深度融入中原城市群，建设成为黄河流域生态保护和高质量发展样板区。深入接轨长三角区域一体化战略，建设成为全面接轨长三角的“桥头堡”和先行区。</w:t>
      </w:r>
    </w:p>
    <w:p>
      <w:pPr>
        <w:pStyle w:val="4"/>
        <w:keepNext w:val="0"/>
        <w:keepLines w:val="0"/>
        <w:spacing w:before="120" w:after="120" w:line="560" w:lineRule="exact"/>
        <w:ind w:firstLine="640" w:firstLineChars="200"/>
        <w:rPr>
          <w:rFonts w:ascii="Times New Roman" w:hAnsi="Times New Roman" w:eastAsia="楷体"/>
          <w:b w:val="0"/>
          <w:bCs w:val="0"/>
        </w:rPr>
      </w:pPr>
      <w:bookmarkStart w:id="18" w:name="_Toc65060503"/>
      <w:bookmarkStart w:id="19" w:name="_Toc59921174"/>
      <w:r>
        <w:rPr>
          <w:rFonts w:hint="eastAsia" w:ascii="Times New Roman" w:hAnsi="Times New Roman" w:eastAsia="楷体"/>
          <w:b w:val="0"/>
          <w:bCs w:val="0"/>
        </w:rPr>
        <w:t>（一）</w:t>
      </w:r>
      <w:bookmarkStart w:id="20" w:name="_Hlk59990762"/>
      <w:r>
        <w:rPr>
          <w:rFonts w:hint="eastAsia" w:ascii="Times New Roman" w:hAnsi="Times New Roman" w:eastAsia="楷体"/>
          <w:b w:val="0"/>
          <w:bCs w:val="0"/>
        </w:rPr>
        <w:t>全面建设黄河流域生态保护和高质量发展样板</w:t>
      </w:r>
      <w:bookmarkEnd w:id="20"/>
      <w:r>
        <w:rPr>
          <w:rFonts w:hint="eastAsia" w:ascii="Times New Roman" w:hAnsi="Times New Roman" w:eastAsia="楷体"/>
          <w:b w:val="0"/>
          <w:bCs w:val="0"/>
        </w:rPr>
        <w:t>区</w:t>
      </w:r>
      <w:bookmarkEnd w:id="18"/>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高标准打造黄淮流域生态示范区。</w:t>
      </w:r>
      <w:r>
        <w:rPr>
          <w:rFonts w:hint="eastAsia" w:ascii="Times New Roman" w:hAnsi="Times New Roman" w:eastAsia="仿宋_GB2312"/>
          <w:sz w:val="30"/>
          <w:szCs w:val="30"/>
        </w:rPr>
        <w:t>坚持积极融入区域协同治理和区域协同发展大局，把生态文明建设与城镇化进程有机结合起来，把生态保护与经济高质量发展结合起来。以项目引进和建设为抓手，大力实施生态林带提升、湿地保护恢复与生态公园建设、森林抚育和森林保护工程、制造业能级提升工程，强化生态涵养和修复，加强文化遗产保护和时代价值挖掘，培育具有核心竞争力的特色产业体系。</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高标准推进撤县设市。</w:t>
      </w:r>
      <w:r>
        <w:rPr>
          <w:rFonts w:hint="eastAsia" w:ascii="Times New Roman" w:hAnsi="Times New Roman" w:eastAsia="仿宋_GB2312"/>
          <w:sz w:val="30"/>
          <w:szCs w:val="30"/>
        </w:rPr>
        <w:t>全面贯彻国家撤县设市要求，聚焦重点和难点，加快补齐城镇化、城市基础设施、基本公共服务等领域的短板，着力提升城市品质，大力推动民生事业发展，全面提升群众文明素质。强化组织领导，全面宣传发动，加大监督考核，确保撤县设市各项工作稳妥有序开展，助推县域经济社会事业全面发展。</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高水平建设“三起来”先行区。</w:t>
      </w:r>
      <w:r>
        <w:rPr>
          <w:rFonts w:hint="eastAsia" w:ascii="Times New Roman" w:hAnsi="Times New Roman" w:eastAsia="仿宋_GB2312"/>
          <w:sz w:val="30"/>
          <w:szCs w:val="30"/>
        </w:rPr>
        <w:t>贯彻习近平总书记对县域经济发展所作的指示，准确把握县域治理特点和规律，以撤县设市为契机，把强县和富民统一起来，把改革和发展结合起来，把城镇和乡村贯通起来。讲述夏邑故事、孕育夏邑生态、培育夏邑产业，传承夏邑文化，全面提升县域现代化发展水平。</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深度融入中原城市群。</w:t>
      </w:r>
      <w:r>
        <w:rPr>
          <w:rFonts w:hint="eastAsia" w:ascii="Times New Roman" w:hAnsi="Times New Roman" w:eastAsia="仿宋_GB2312"/>
          <w:sz w:val="30"/>
          <w:szCs w:val="30"/>
        </w:rPr>
        <w:t>推动夏邑与中原城市群实现规划沟通、设施联通、要素畅通、产业互通、民生相通、机制共建，为做好黄河流域生态保护和高质量发展贡献夏邑力量，打造成为中原城市群重要的先进制造业基地和交通物流枢纽。</w:t>
      </w:r>
    </w:p>
    <w:bookmarkEnd w:id="19"/>
    <w:p>
      <w:pPr>
        <w:pStyle w:val="4"/>
        <w:keepNext w:val="0"/>
        <w:keepLines w:val="0"/>
        <w:spacing w:before="120" w:after="120" w:line="560" w:lineRule="exact"/>
        <w:ind w:firstLine="640" w:firstLineChars="200"/>
        <w:rPr>
          <w:rFonts w:ascii="Times New Roman" w:hAnsi="Times New Roman" w:eastAsia="楷体"/>
          <w:b w:val="0"/>
          <w:bCs w:val="0"/>
        </w:rPr>
      </w:pPr>
      <w:bookmarkStart w:id="21" w:name="_Toc65060504"/>
      <w:bookmarkStart w:id="22" w:name="_Toc59921175"/>
      <w:r>
        <w:rPr>
          <w:rFonts w:hint="eastAsia" w:ascii="Times New Roman" w:hAnsi="Times New Roman" w:eastAsia="楷体"/>
          <w:b w:val="0"/>
          <w:bCs w:val="0"/>
        </w:rPr>
        <w:t>（二）</w:t>
      </w:r>
      <w:bookmarkStart w:id="23" w:name="_Hlk59990776"/>
      <w:r>
        <w:rPr>
          <w:rFonts w:hint="eastAsia" w:ascii="Times New Roman" w:hAnsi="Times New Roman" w:eastAsia="楷体"/>
          <w:b w:val="0"/>
          <w:bCs w:val="0"/>
        </w:rPr>
        <w:t>加快建设全面接轨长三角先行区</w:t>
      </w:r>
      <w:bookmarkEnd w:id="21"/>
      <w:bookmarkEnd w:id="22"/>
      <w:bookmarkEnd w:id="23"/>
    </w:p>
    <w:p>
      <w:pPr>
        <w:spacing w:line="560" w:lineRule="exact"/>
        <w:ind w:firstLine="602" w:firstLineChars="200"/>
        <w:rPr>
          <w:rFonts w:ascii="Times New Roman" w:hAnsi="Times New Roman" w:eastAsia="仿宋_GB2312"/>
          <w:bCs/>
          <w:sz w:val="30"/>
          <w:szCs w:val="30"/>
        </w:rPr>
      </w:pPr>
      <w:r>
        <w:rPr>
          <w:rFonts w:hint="eastAsia" w:ascii="Times New Roman" w:hAnsi="Times New Roman" w:eastAsia="仿宋_GB2312"/>
          <w:b/>
          <w:sz w:val="30"/>
          <w:szCs w:val="30"/>
        </w:rPr>
        <w:t>实施全面接轨长三角行动计划。</w:t>
      </w:r>
      <w:r>
        <w:rPr>
          <w:rFonts w:hint="eastAsia" w:ascii="Times New Roman" w:hAnsi="Times New Roman" w:eastAsia="仿宋_GB2312"/>
          <w:bCs/>
          <w:sz w:val="30"/>
          <w:szCs w:val="30"/>
        </w:rPr>
        <w:t>抢抓长三角区域一体化国家战略实施机遇，高标准编制行动计划，明确对接方向和重点任务，强化对接上海的科技、创新、人才、金融资源，深度对接浙江与江苏产业、资本资源，力争在产业、科创、公共服务、文旅、机制等方面实现突破创新，推动夏邑县全面接轨长三角。</w:t>
      </w:r>
    </w:p>
    <w:p>
      <w:pPr>
        <w:spacing w:line="560" w:lineRule="exact"/>
        <w:ind w:firstLine="602" w:firstLineChars="200"/>
        <w:rPr>
          <w:rFonts w:ascii="Times New Roman" w:hAnsi="Times New Roman" w:eastAsia="仿宋_GB2312"/>
          <w:bCs/>
          <w:sz w:val="30"/>
          <w:szCs w:val="30"/>
        </w:rPr>
      </w:pPr>
      <w:r>
        <w:rPr>
          <w:rFonts w:hint="eastAsia" w:ascii="Times New Roman" w:hAnsi="Times New Roman" w:eastAsia="仿宋_GB2312"/>
          <w:b/>
          <w:sz w:val="30"/>
          <w:szCs w:val="30"/>
        </w:rPr>
        <w:t>高水平规划建设承接长三角地区产业转移集聚区。</w:t>
      </w:r>
      <w:r>
        <w:rPr>
          <w:rFonts w:hint="eastAsia" w:ascii="Times New Roman" w:hAnsi="Times New Roman" w:eastAsia="仿宋_GB2312"/>
          <w:bCs/>
          <w:sz w:val="30"/>
          <w:szCs w:val="30"/>
        </w:rPr>
        <w:t>以县产业集聚区为核心，进一步完善基础设施，瞄准纺织服装、装备制造、节能环保、新材料等产业领域，积极承接江浙沪皖等地产业转移。规划建设豫浙合作产业园，加强与杭州、绍兴等地合作，建立科创和产业“双向飞地”，打造豫浙特别合作示范区。</w:t>
      </w:r>
    </w:p>
    <w:p>
      <w:pPr>
        <w:pStyle w:val="4"/>
        <w:keepNext w:val="0"/>
        <w:keepLines w:val="0"/>
        <w:spacing w:before="120" w:after="120" w:line="560" w:lineRule="exact"/>
        <w:ind w:firstLine="640" w:firstLineChars="200"/>
        <w:rPr>
          <w:rFonts w:ascii="Times New Roman" w:hAnsi="Times New Roman" w:eastAsia="楷体"/>
          <w:b w:val="0"/>
          <w:bCs w:val="0"/>
        </w:rPr>
      </w:pPr>
      <w:bookmarkStart w:id="24" w:name="_Toc65060505"/>
      <w:bookmarkStart w:id="25" w:name="_Toc59921176"/>
      <w:r>
        <w:rPr>
          <w:rFonts w:hint="eastAsia" w:ascii="Times New Roman" w:hAnsi="Times New Roman" w:eastAsia="楷体"/>
          <w:b w:val="0"/>
          <w:bCs w:val="0"/>
        </w:rPr>
        <w:t>（三）</w:t>
      </w:r>
      <w:bookmarkStart w:id="26" w:name="_Hlk59990795"/>
      <w:r>
        <w:rPr>
          <w:rFonts w:hint="eastAsia" w:ascii="Times New Roman" w:hAnsi="Times New Roman" w:eastAsia="楷体"/>
          <w:b w:val="0"/>
          <w:bCs w:val="0"/>
        </w:rPr>
        <w:t>建立区域联动发展重大体制机制</w:t>
      </w:r>
      <w:bookmarkEnd w:id="24"/>
      <w:bookmarkEnd w:id="25"/>
      <w:bookmarkEnd w:id="26"/>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建立柔性合作机制。</w:t>
      </w:r>
      <w:r>
        <w:rPr>
          <w:rFonts w:hint="eastAsia" w:ascii="Times New Roman" w:hAnsi="Times New Roman" w:eastAsia="仿宋_GB2312"/>
          <w:sz w:val="30"/>
          <w:szCs w:val="30"/>
        </w:rPr>
        <w:t>充分重视行业协会、商会在区域融合联动发展中的作用，进一步释放职能空间，优化政策环境，发挥社会组织在“融黄接长”过程中更好地提供区域信息服务、促进区域交流、搭建合作平台等作用。</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建立沟通协调机制。</w:t>
      </w:r>
      <w:r>
        <w:rPr>
          <w:rFonts w:hint="eastAsia" w:ascii="Times New Roman" w:hAnsi="Times New Roman" w:eastAsia="仿宋_GB2312"/>
          <w:sz w:val="30"/>
          <w:szCs w:val="30"/>
        </w:rPr>
        <w:t>加快建立跨区域常态化衔接机制，推进与长三角区域主要县（市、区）签订战略合作框架协议，实质性推进跨区域多领域发展。建立常态化干部交流挂职机制，探索在长三角主要城市驻点办公模式。</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建立要素创新机制。</w:t>
      </w:r>
      <w:r>
        <w:rPr>
          <w:rFonts w:hint="eastAsia" w:ascii="Times New Roman" w:hAnsi="Times New Roman" w:eastAsia="仿宋_GB2312"/>
          <w:sz w:val="30"/>
          <w:szCs w:val="30"/>
        </w:rPr>
        <w:t>加大对区域融合联动发展重点项目的土地、人才等要素支持，积极争取列入省市重点项目，积极争取税收、土地出让金等资金返还政策。健全高端要素承接机制，畅通与长三角地区科创、基金、人才等创新要素流通渠道。</w:t>
      </w:r>
    </w:p>
    <w:tbl>
      <w:tblPr>
        <w:tblStyle w:val="15"/>
        <w:tblW w:w="0" w:type="auto"/>
        <w:tblInd w:w="0" w:type="dxa"/>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autofit"/>
        <w:tblCellMar>
          <w:top w:w="0" w:type="dxa"/>
          <w:left w:w="108" w:type="dxa"/>
          <w:bottom w:w="0" w:type="dxa"/>
          <w:right w:w="108" w:type="dxa"/>
        </w:tblCellMar>
      </w:tblPr>
      <w:tblGrid>
        <w:gridCol w:w="8276"/>
      </w:tblGrid>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PrEx>
        <w:tc>
          <w:tcPr>
            <w:tcW w:w="8276" w:type="dxa"/>
          </w:tcPr>
          <w:p>
            <w:pPr>
              <w:snapToGrid w:val="0"/>
              <w:jc w:val="center"/>
              <w:rPr>
                <w:rFonts w:ascii="Times New Roman" w:hAnsi="Times New Roman" w:eastAsia="楷体" w:cs="Times New Roman"/>
                <w:sz w:val="28"/>
                <w:szCs w:val="32"/>
              </w:rPr>
            </w:pPr>
            <w:bookmarkStart w:id="27" w:name="_Toc59921178"/>
            <w:r>
              <w:rPr>
                <w:rFonts w:hint="eastAsia" w:ascii="Times New Roman" w:hAnsi="Times New Roman" w:eastAsia="楷体" w:cs="Times New Roman"/>
                <w:sz w:val="28"/>
                <w:szCs w:val="32"/>
              </w:rPr>
              <w:t>专栏一</w:t>
            </w:r>
            <w:r>
              <w:rPr>
                <w:rFonts w:ascii="Times New Roman" w:hAnsi="Times New Roman" w:eastAsia="楷体" w:cs="Times New Roman"/>
                <w:sz w:val="28"/>
                <w:szCs w:val="32"/>
              </w:rPr>
              <w:t xml:space="preserve">  </w:t>
            </w:r>
            <w:r>
              <w:rPr>
                <w:rFonts w:hint="eastAsia" w:ascii="Times New Roman" w:hAnsi="Times New Roman" w:eastAsia="楷体" w:cs="Times New Roman"/>
                <w:sz w:val="28"/>
                <w:szCs w:val="32"/>
              </w:rPr>
              <w:t>全面接轨长三角工程</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PrEx>
        <w:tc>
          <w:tcPr>
            <w:tcW w:w="8276" w:type="dxa"/>
          </w:tcPr>
          <w:p>
            <w:pPr>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sz w:val="24"/>
                <w:szCs w:val="24"/>
              </w:rPr>
              <w:t>聚焦“三个接轨”。</w:t>
            </w:r>
            <w:r>
              <w:rPr>
                <w:rFonts w:hint="eastAsia" w:ascii="Times New Roman" w:hAnsi="Times New Roman" w:eastAsia="仿宋_GB2312" w:cs="Times New Roman"/>
                <w:bCs/>
                <w:sz w:val="24"/>
                <w:szCs w:val="24"/>
              </w:rPr>
              <w:t>以聚焦接轨产业资源、聚焦接轨科技创新、聚焦接轨现代化治理为重点，全面接轨长三角一体化，加快推进豫东地区接轨长三角先行区建设。</w:t>
            </w:r>
          </w:p>
          <w:p>
            <w:pPr>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sz w:val="24"/>
                <w:szCs w:val="24"/>
              </w:rPr>
              <w:t>建设豫浙特别合作示范区。</w:t>
            </w:r>
            <w:r>
              <w:rPr>
                <w:rFonts w:hint="eastAsia" w:ascii="Times New Roman" w:hAnsi="Times New Roman" w:eastAsia="仿宋_GB2312" w:cs="Times New Roman"/>
                <w:bCs/>
                <w:sz w:val="24"/>
                <w:szCs w:val="24"/>
              </w:rPr>
              <w:t>在产业集聚区内规划</w:t>
            </w:r>
            <w:r>
              <w:rPr>
                <w:rFonts w:ascii="Times New Roman" w:hAnsi="Times New Roman" w:eastAsia="仿宋_GB2312" w:cs="Times New Roman"/>
                <w:bCs/>
                <w:sz w:val="24"/>
                <w:szCs w:val="24"/>
              </w:rPr>
              <w:t>3</w:t>
            </w:r>
            <w:r>
              <w:rPr>
                <w:rFonts w:hint="eastAsia" w:ascii="Times New Roman" w:hAnsi="Times New Roman" w:eastAsia="仿宋_GB2312" w:cs="Times New Roman"/>
                <w:bCs/>
                <w:sz w:val="24"/>
                <w:szCs w:val="24"/>
              </w:rPr>
              <w:t>平方公里左右的空间，按照共建共享的原则，重点在纺织服装、装备制造等领域，引进</w:t>
            </w:r>
            <w:r>
              <w:rPr>
                <w:rFonts w:ascii="Times New Roman" w:hAnsi="Times New Roman" w:eastAsia="仿宋_GB2312" w:cs="Times New Roman"/>
                <w:bCs/>
                <w:sz w:val="24"/>
                <w:szCs w:val="24"/>
              </w:rPr>
              <w:t>5-10</w:t>
            </w:r>
            <w:r>
              <w:rPr>
                <w:rFonts w:hint="eastAsia" w:ascii="Times New Roman" w:hAnsi="Times New Roman" w:eastAsia="仿宋_GB2312" w:cs="Times New Roman"/>
                <w:bCs/>
                <w:sz w:val="24"/>
                <w:szCs w:val="24"/>
              </w:rPr>
              <w:t>家大型浙商企业和</w:t>
            </w:r>
            <w:r>
              <w:rPr>
                <w:rFonts w:ascii="Times New Roman" w:hAnsi="Times New Roman" w:eastAsia="仿宋_GB2312" w:cs="Times New Roman"/>
                <w:bCs/>
                <w:sz w:val="24"/>
                <w:szCs w:val="24"/>
              </w:rPr>
              <w:t>50</w:t>
            </w:r>
            <w:r>
              <w:rPr>
                <w:rFonts w:hint="eastAsia" w:ascii="Times New Roman" w:hAnsi="Times New Roman" w:eastAsia="仿宋_GB2312" w:cs="Times New Roman"/>
                <w:bCs/>
                <w:sz w:val="24"/>
                <w:szCs w:val="24"/>
              </w:rPr>
              <w:t>家左右中小型浙商企业。</w:t>
            </w:r>
          </w:p>
          <w:p>
            <w:pPr>
              <w:ind w:firstLine="482" w:firstLineChars="200"/>
              <w:rPr>
                <w:rFonts w:ascii="Times New Roman" w:hAnsi="Times New Roman" w:eastAsia="楷体" w:cs="Times New Roman"/>
                <w:sz w:val="28"/>
                <w:szCs w:val="32"/>
              </w:rPr>
            </w:pPr>
            <w:r>
              <w:rPr>
                <w:rFonts w:hint="eastAsia" w:ascii="Times New Roman" w:hAnsi="Times New Roman" w:eastAsia="仿宋_GB2312" w:cs="Times New Roman"/>
                <w:b/>
                <w:sz w:val="24"/>
                <w:szCs w:val="24"/>
              </w:rPr>
              <w:t>百企产业供应链融合建设行动。</w:t>
            </w:r>
            <w:r>
              <w:rPr>
                <w:rFonts w:hint="eastAsia" w:ascii="Times New Roman" w:hAnsi="Times New Roman" w:eastAsia="仿宋_GB2312" w:cs="Times New Roman"/>
                <w:bCs/>
                <w:sz w:val="24"/>
                <w:szCs w:val="24"/>
              </w:rPr>
              <w:t>支持夏邑企业与长三角地区纺织服装、装备制造业等领域“链主”企业加强合作，推动</w:t>
            </w:r>
            <w:r>
              <w:rPr>
                <w:rFonts w:ascii="Times New Roman" w:hAnsi="Times New Roman" w:eastAsia="仿宋_GB2312" w:cs="Times New Roman"/>
                <w:bCs/>
                <w:sz w:val="24"/>
                <w:szCs w:val="24"/>
              </w:rPr>
              <w:t>100</w:t>
            </w:r>
            <w:r>
              <w:rPr>
                <w:rFonts w:hint="eastAsia" w:ascii="Times New Roman" w:hAnsi="Times New Roman" w:eastAsia="仿宋_GB2312" w:cs="Times New Roman"/>
                <w:bCs/>
                <w:sz w:val="24"/>
                <w:szCs w:val="24"/>
              </w:rPr>
              <w:t>家左右夏邑本地企业与长三角地区企业建立紧密的产业供应链战略合作，积极融入长三角供应链体系。</w:t>
            </w:r>
          </w:p>
        </w:tc>
      </w:tr>
    </w:tbl>
    <w:p>
      <w:pPr>
        <w:spacing w:before="120" w:after="120" w:line="560" w:lineRule="exact"/>
        <w:ind w:firstLine="640" w:firstLineChars="200"/>
        <w:outlineLvl w:val="1"/>
        <w:rPr>
          <w:rFonts w:ascii="Times New Roman" w:hAnsi="Times New Roman" w:eastAsia="楷体" w:cstheme="majorBidi"/>
          <w:sz w:val="32"/>
          <w:szCs w:val="32"/>
        </w:rPr>
      </w:pPr>
      <w:bookmarkStart w:id="28" w:name="_Toc65060506"/>
      <w:r>
        <w:rPr>
          <w:rFonts w:hint="eastAsia" w:ascii="Times New Roman" w:hAnsi="Times New Roman" w:eastAsia="楷体" w:cstheme="majorBidi"/>
          <w:sz w:val="32"/>
          <w:szCs w:val="32"/>
        </w:rPr>
        <w:t>（四）打造营商环境最优县</w:t>
      </w:r>
      <w:bookmarkEnd w:id="28"/>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提升营商便利化水平。</w:t>
      </w:r>
      <w:r>
        <w:rPr>
          <w:rFonts w:hint="eastAsia" w:ascii="Times New Roman" w:hAnsi="Times New Roman" w:eastAsia="仿宋_GB2312"/>
          <w:sz w:val="30"/>
          <w:szCs w:val="30"/>
        </w:rPr>
        <w:t>启动企业个人“一件事”改革和“最多跑一次”改革，推动政务服务标准化，改善投资贸易服务，改革商事登记制度。对照世界银行营商环境指数，推动企业开办全流程“一日办结”改革，为企业投资落户、开办经营、工程项目审批、资本市场对接等环节提供优质高效、便利化的政务服务。</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制定专项扶持政策和企业服务机制。</w:t>
      </w:r>
      <w:r>
        <w:rPr>
          <w:rFonts w:hint="eastAsia" w:ascii="Times New Roman" w:hAnsi="Times New Roman" w:eastAsia="仿宋_GB2312"/>
          <w:sz w:val="30"/>
          <w:szCs w:val="30"/>
        </w:rPr>
        <w:t>出台完善引企、扶企、惠企和人才引进一揽子专项政策，制定重点企业、重点项目、重点人才扶持清单；建立夏邑县产业发展引导基金，引导社会资本建立股权投资基金，打造“基金+项目+园区”的一体化生态链，重点支持纺织服装、装备制造以及新兴产业的企业和项目；建立企业联络员制度，在产业集聚区、各乡镇产业片区，设立企业联络专员，为企业经营、项目建设等提供全过程的服务，打造豫苏鲁皖四省边界政策最优、服务最佳投资目的地。</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持续降低营商成本。</w:t>
      </w:r>
      <w:r>
        <w:rPr>
          <w:rFonts w:hint="eastAsia" w:ascii="Times New Roman" w:hAnsi="Times New Roman" w:eastAsia="仿宋_GB2312"/>
          <w:sz w:val="30"/>
          <w:szCs w:val="30"/>
        </w:rPr>
        <w:t>严格落实减税降费政策，建设智慧电子税务体系，精简报税材料，拓宽办税渠道，整治涉企违规收费，切实减轻企业负担。充分发挥政府性融资担保作用，建立融资绿色通道，助力企业融资。降低生产经营性成本，努力降低企业用工和房租负担，强化土地、水电气网等要素保障，降低用地、用能成本，加快推进物流降本增效。</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创新完善监管体系。</w:t>
      </w:r>
      <w:r>
        <w:rPr>
          <w:rFonts w:hint="eastAsia" w:ascii="Times New Roman" w:hAnsi="Times New Roman" w:eastAsia="仿宋_GB2312"/>
          <w:sz w:val="30"/>
          <w:szCs w:val="30"/>
        </w:rPr>
        <w:t>加强商事审判规范化建设，推进一站式诉讼服务体系建设，有效提升商事纠纷案件诉前保全效率和商事审判质效。推进综合执法和跨部门联合监管，建立维权服务平台、权益补偿机制等，推进执法监管规范化。大力扶持商标品牌的创造和运用，加快建立对专利、商标、商业秘密等知识产权的保护体系建设，完善涉企产权保护。</w:t>
      </w:r>
    </w:p>
    <w:p>
      <w:pPr>
        <w:spacing w:line="560" w:lineRule="exact"/>
        <w:ind w:firstLine="600" w:firstLineChars="200"/>
        <w:rPr>
          <w:rFonts w:ascii="Times New Roman" w:hAnsi="Times New Roman" w:eastAsia="仿宋_GB2312"/>
          <w:sz w:val="30"/>
          <w:szCs w:val="30"/>
        </w:rPr>
        <w:sectPr>
          <w:pgSz w:w="11906" w:h="16838"/>
          <w:pgMar w:top="1440" w:right="1800" w:bottom="1440" w:left="1800" w:header="851" w:footer="992" w:gutter="0"/>
          <w:cols w:space="425" w:num="1"/>
          <w:docGrid w:type="lines" w:linePitch="312" w:charSpace="0"/>
        </w:sectPr>
      </w:pPr>
    </w:p>
    <w:p>
      <w:pPr>
        <w:spacing w:before="156" w:beforeLines="50" w:after="156" w:afterLines="50"/>
        <w:ind w:firstLine="640" w:firstLineChars="200"/>
        <w:outlineLvl w:val="0"/>
        <w:rPr>
          <w:rFonts w:ascii="Times New Roman" w:hAnsi="Times New Roman" w:eastAsia="黑体" w:cs="Times New Roman"/>
          <w:sz w:val="32"/>
          <w:szCs w:val="32"/>
        </w:rPr>
      </w:pPr>
      <w:bookmarkStart w:id="29" w:name="_Toc65060507"/>
      <w:r>
        <w:rPr>
          <w:rFonts w:hint="eastAsia" w:ascii="Times New Roman" w:hAnsi="Times New Roman" w:eastAsia="黑体" w:cs="Times New Roman"/>
          <w:sz w:val="32"/>
          <w:szCs w:val="32"/>
        </w:rPr>
        <w:t>三、</w:t>
      </w:r>
      <w:bookmarkStart w:id="30" w:name="_Hlk59990842"/>
      <w:bookmarkStart w:id="31" w:name="_Hlk59016719"/>
      <w:r>
        <w:rPr>
          <w:rFonts w:hint="eastAsia" w:ascii="Times New Roman" w:hAnsi="Times New Roman" w:eastAsia="黑体" w:cs="Times New Roman"/>
          <w:sz w:val="32"/>
          <w:szCs w:val="32"/>
        </w:rPr>
        <w:t>全面推进智造强县，构建现代化产业发展新体系</w:t>
      </w:r>
      <w:bookmarkEnd w:id="27"/>
      <w:bookmarkEnd w:id="29"/>
      <w:bookmarkEnd w:id="30"/>
    </w:p>
    <w:bookmarkEnd w:id="31"/>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坚持规模化、集聚化、融合化、低碳化的发展方向，聚焦纺织服装、装备制造等标志性产业链建设，实施招商引资“一号”工程，锻造产业链，提升价值链，培育生态链，大力发展循环经济，加快推进产业数字化，着力构建“3+</w:t>
      </w: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rPr>
        <w:t>+X”的现代产业体系，到2025年制造业增加值占地区生产总值比重达到3</w:t>
      </w:r>
      <w:r>
        <w:rPr>
          <w:rFonts w:hint="eastAsia" w:ascii="Times New Roman" w:hAnsi="Times New Roman" w:eastAsia="仿宋_GB2312" w:cs="Times New Roman"/>
          <w:sz w:val="30"/>
          <w:szCs w:val="30"/>
          <w:lang w:val="en-US" w:eastAsia="zh-CN"/>
        </w:rPr>
        <w:t>2</w:t>
      </w:r>
      <w:r>
        <w:rPr>
          <w:rFonts w:hint="eastAsia" w:ascii="Times New Roman" w:hAnsi="Times New Roman" w:eastAsia="仿宋_GB2312" w:cs="Times New Roman"/>
          <w:sz w:val="30"/>
          <w:szCs w:val="30"/>
        </w:rPr>
        <w:t>%，规上工业增加值超过1</w:t>
      </w:r>
      <w:r>
        <w:rPr>
          <w:rFonts w:hint="eastAsia" w:ascii="Times New Roman" w:hAnsi="Times New Roman" w:eastAsia="仿宋_GB2312" w:cs="Times New Roman"/>
          <w:sz w:val="30"/>
          <w:szCs w:val="30"/>
          <w:lang w:val="en-US" w:eastAsia="zh-CN"/>
        </w:rPr>
        <w:t>30</w:t>
      </w:r>
      <w:r>
        <w:rPr>
          <w:rFonts w:hint="eastAsia" w:ascii="Times New Roman" w:hAnsi="Times New Roman" w:eastAsia="仿宋_GB2312" w:cs="Times New Roman"/>
          <w:sz w:val="30"/>
          <w:szCs w:val="30"/>
        </w:rPr>
        <w:t>亿元，建设成为我国中部地区绿色智造示范区。</w:t>
      </w:r>
    </w:p>
    <w:p>
      <w:pPr>
        <w:pStyle w:val="4"/>
        <w:keepNext w:val="0"/>
        <w:keepLines w:val="0"/>
        <w:spacing w:before="120" w:after="120" w:line="560" w:lineRule="exact"/>
        <w:ind w:firstLine="640" w:firstLineChars="200"/>
        <w:rPr>
          <w:rFonts w:ascii="Times New Roman" w:hAnsi="Times New Roman" w:eastAsia="楷体"/>
          <w:b w:val="0"/>
          <w:bCs w:val="0"/>
        </w:rPr>
      </w:pPr>
      <w:bookmarkStart w:id="32" w:name="_Toc65060508"/>
      <w:bookmarkStart w:id="33" w:name="_Toc59921179"/>
      <w:r>
        <w:rPr>
          <w:rFonts w:hint="eastAsia" w:ascii="Times New Roman" w:hAnsi="Times New Roman" w:eastAsia="楷体"/>
          <w:b w:val="0"/>
          <w:bCs w:val="0"/>
        </w:rPr>
        <w:t>（一）做大做强三大主导产业</w:t>
      </w:r>
      <w:bookmarkEnd w:id="32"/>
      <w:bookmarkEnd w:id="33"/>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纺织服装。</w:t>
      </w:r>
      <w:r>
        <w:rPr>
          <w:rFonts w:hint="eastAsia" w:ascii="Times New Roman" w:hAnsi="Times New Roman" w:eastAsia="仿宋_GB2312"/>
          <w:sz w:val="30"/>
          <w:szCs w:val="30"/>
        </w:rPr>
        <w:t>以强化产业链、提升价值链、完善供应链为导向，按照纤维差别化、面料时尚化、印染绿色化、服装家纺品牌化的发展方向，重点突出绿色印染、新型化纤原料、高档纺织面料等领域，借助最新网上销售模式（电子商务、直播带货等），巩固国内外低端市场；顺应国际纺织产业深度转型趋势，加大纺织品创新开发力度，进一步拓展国内外中高端市场，实现全纺织产业链生产模式、管理模式和服务模式转换。瞄准全球前沿技术和时尚消费，以提升时尚的引领示范、创意设计、智慧制造、渠道掌控、品牌影响等为导向，加快引进时尚创意人才和项目，着力培育时尚园区、时尚企业、时尚产品和时尚品牌，促进时尚产业要素在夏邑集聚，加快构建独具特色的时尚产业链。加快推进绿色科技印染产业园建设，规划建设服装家纺产业园（返乡创业园），大力引进培育中小微服装家纺企业。</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装备制造。</w:t>
      </w:r>
      <w:r>
        <w:rPr>
          <w:rFonts w:hint="eastAsia" w:ascii="Times New Roman" w:hAnsi="Times New Roman" w:eastAsia="仿宋_GB2312"/>
          <w:sz w:val="30"/>
          <w:szCs w:val="30"/>
        </w:rPr>
        <w:t>以绿色化、智能化、融合化、服务化为主攻方向，深入推进装备制造产业结构调整，重点推进纺织印染装备、汽车配件、电梯配件、管道配件、高铁配件、中高档板材等生产企业做大做强，推进</w:t>
      </w:r>
      <w:r>
        <w:rPr>
          <w:rFonts w:ascii="Times New Roman" w:hAnsi="Times New Roman" w:eastAsia="仿宋_GB2312"/>
          <w:sz w:val="30"/>
          <w:szCs w:val="30"/>
        </w:rPr>
        <w:t>“</w:t>
      </w:r>
      <w:r>
        <w:rPr>
          <w:rFonts w:hint="eastAsia" w:ascii="Times New Roman" w:hAnsi="Times New Roman" w:eastAsia="仿宋_GB2312"/>
          <w:sz w:val="30"/>
          <w:szCs w:val="30"/>
        </w:rPr>
        <w:t>互联网</w:t>
      </w:r>
      <w:r>
        <w:rPr>
          <w:rFonts w:ascii="Times New Roman" w:hAnsi="Times New Roman" w:eastAsia="仿宋_GB2312"/>
          <w:sz w:val="30"/>
          <w:szCs w:val="30"/>
        </w:rPr>
        <w:t>+”</w:t>
      </w:r>
      <w:r>
        <w:rPr>
          <w:rFonts w:hint="eastAsia" w:ascii="Times New Roman" w:hAnsi="Times New Roman" w:eastAsia="仿宋_GB2312"/>
          <w:sz w:val="30"/>
          <w:szCs w:val="30"/>
        </w:rPr>
        <w:t>、</w:t>
      </w:r>
      <w:r>
        <w:rPr>
          <w:rFonts w:ascii="Times New Roman" w:hAnsi="Times New Roman" w:eastAsia="仿宋_GB2312"/>
          <w:sz w:val="30"/>
          <w:szCs w:val="30"/>
        </w:rPr>
        <w:t>“</w:t>
      </w:r>
      <w:r>
        <w:rPr>
          <w:rFonts w:hint="eastAsia" w:ascii="Times New Roman" w:hAnsi="Times New Roman" w:eastAsia="仿宋_GB2312"/>
          <w:sz w:val="30"/>
          <w:szCs w:val="30"/>
        </w:rPr>
        <w:t>机器人</w:t>
      </w:r>
      <w:r>
        <w:rPr>
          <w:rFonts w:ascii="Times New Roman" w:hAnsi="Times New Roman" w:eastAsia="仿宋_GB2312"/>
          <w:sz w:val="30"/>
          <w:szCs w:val="30"/>
        </w:rPr>
        <w:t>+”</w:t>
      </w:r>
      <w:r>
        <w:rPr>
          <w:rFonts w:hint="eastAsia" w:ascii="Times New Roman" w:hAnsi="Times New Roman" w:eastAsia="仿宋_GB2312"/>
          <w:sz w:val="30"/>
          <w:szCs w:val="30"/>
        </w:rPr>
        <w:t>、</w:t>
      </w:r>
      <w:r>
        <w:rPr>
          <w:rFonts w:ascii="Times New Roman" w:hAnsi="Times New Roman" w:eastAsia="仿宋_GB2312"/>
          <w:sz w:val="30"/>
          <w:szCs w:val="30"/>
        </w:rPr>
        <w:t>“</w:t>
      </w:r>
      <w:r>
        <w:rPr>
          <w:rFonts w:hint="eastAsia" w:ascii="Times New Roman" w:hAnsi="Times New Roman" w:eastAsia="仿宋_GB2312"/>
          <w:sz w:val="30"/>
          <w:szCs w:val="30"/>
        </w:rPr>
        <w:t>标准化</w:t>
      </w:r>
      <w:r>
        <w:rPr>
          <w:rFonts w:ascii="Times New Roman" w:hAnsi="Times New Roman" w:eastAsia="仿宋_GB2312"/>
          <w:sz w:val="30"/>
          <w:szCs w:val="30"/>
        </w:rPr>
        <w:t>+”</w:t>
      </w:r>
      <w:r>
        <w:rPr>
          <w:rFonts w:hint="eastAsia" w:ascii="Times New Roman" w:hAnsi="Times New Roman" w:eastAsia="仿宋_GB2312"/>
          <w:sz w:val="30"/>
          <w:szCs w:val="30"/>
        </w:rPr>
        <w:t>和</w:t>
      </w:r>
      <w:r>
        <w:rPr>
          <w:rFonts w:ascii="Times New Roman" w:hAnsi="Times New Roman" w:eastAsia="仿宋_GB2312"/>
          <w:sz w:val="30"/>
          <w:szCs w:val="30"/>
        </w:rPr>
        <w:t>“</w:t>
      </w:r>
      <w:r>
        <w:rPr>
          <w:rFonts w:hint="eastAsia" w:ascii="Times New Roman" w:hAnsi="Times New Roman" w:eastAsia="仿宋_GB2312"/>
          <w:sz w:val="30"/>
          <w:szCs w:val="30"/>
        </w:rPr>
        <w:t>大数据</w:t>
      </w:r>
      <w:r>
        <w:rPr>
          <w:rFonts w:ascii="Times New Roman" w:hAnsi="Times New Roman" w:eastAsia="仿宋_GB2312"/>
          <w:sz w:val="30"/>
          <w:szCs w:val="30"/>
        </w:rPr>
        <w:t>+”</w:t>
      </w:r>
      <w:r>
        <w:rPr>
          <w:rFonts w:hint="eastAsia" w:ascii="Times New Roman" w:hAnsi="Times New Roman" w:eastAsia="仿宋_GB2312"/>
          <w:sz w:val="30"/>
          <w:szCs w:val="30"/>
        </w:rPr>
        <w:t>在装备制造业领域的融合应用，实现</w:t>
      </w:r>
      <w:r>
        <w:rPr>
          <w:rFonts w:ascii="Times New Roman" w:hAnsi="Times New Roman" w:eastAsia="仿宋_GB2312"/>
          <w:sz w:val="30"/>
          <w:szCs w:val="30"/>
        </w:rPr>
        <w:t>“</w:t>
      </w:r>
      <w:r>
        <w:rPr>
          <w:rFonts w:hint="eastAsia" w:ascii="Times New Roman" w:hAnsi="Times New Roman" w:eastAsia="仿宋_GB2312"/>
          <w:sz w:val="30"/>
          <w:szCs w:val="30"/>
        </w:rPr>
        <w:t>夏邑制造</w:t>
      </w:r>
      <w:r>
        <w:rPr>
          <w:rFonts w:ascii="Times New Roman" w:hAnsi="Times New Roman" w:eastAsia="仿宋_GB2312"/>
          <w:sz w:val="30"/>
          <w:szCs w:val="30"/>
        </w:rPr>
        <w:t>”</w:t>
      </w:r>
      <w:r>
        <w:rPr>
          <w:rFonts w:hint="eastAsia" w:ascii="Times New Roman" w:hAnsi="Times New Roman" w:eastAsia="仿宋_GB2312"/>
          <w:sz w:val="30"/>
          <w:szCs w:val="30"/>
        </w:rPr>
        <w:t>向</w:t>
      </w:r>
      <w:r>
        <w:rPr>
          <w:rFonts w:ascii="Times New Roman" w:hAnsi="Times New Roman" w:eastAsia="仿宋_GB2312"/>
          <w:sz w:val="30"/>
          <w:szCs w:val="30"/>
        </w:rPr>
        <w:t>“</w:t>
      </w:r>
      <w:r>
        <w:rPr>
          <w:rFonts w:hint="eastAsia" w:ascii="Times New Roman" w:hAnsi="Times New Roman" w:eastAsia="仿宋_GB2312"/>
          <w:sz w:val="30"/>
          <w:szCs w:val="30"/>
        </w:rPr>
        <w:t>夏邑智造</w:t>
      </w:r>
      <w:r>
        <w:rPr>
          <w:rFonts w:ascii="Times New Roman" w:hAnsi="Times New Roman" w:eastAsia="仿宋_GB2312"/>
          <w:sz w:val="30"/>
          <w:szCs w:val="30"/>
        </w:rPr>
        <w:t>”</w:t>
      </w:r>
      <w:r>
        <w:rPr>
          <w:rFonts w:hint="eastAsia" w:ascii="Times New Roman" w:hAnsi="Times New Roman" w:eastAsia="仿宋_GB2312"/>
          <w:sz w:val="30"/>
          <w:szCs w:val="30"/>
        </w:rPr>
        <w:t>的快速转型升级。沿淮海大道会亭至济阳，打造装备制造产业带，规划建设装备制造产业园（产业特色小镇），着力引进昆山、台州等地电子配件、汽车配件项目入驻，争创“中国汽车配件生产基地”。</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农副产品精深加工。</w:t>
      </w:r>
      <w:r>
        <w:rPr>
          <w:rFonts w:hint="eastAsia" w:ascii="Times New Roman" w:hAnsi="Times New Roman" w:eastAsia="仿宋_GB2312"/>
          <w:sz w:val="30"/>
          <w:szCs w:val="30"/>
        </w:rPr>
        <w:t>充分发挥夏邑“5+2”农产品资源优势，依托省级食用菌西瓜现代农业产业园和四个市级现代农业产业园建设（太平镇市级板山羊黄花菜现代农业产业园、郭店镇市级桂柳鸭现代农业产业园、罗庄镇市级优质高粱现代农业产业园、马头镇市级何首乌现代农业产业园）等产业平台，以骨干农副产品加工企业为重点，以科技创新为手段，快速提升农副产品加工产业生产规模、产品档次水平、市场竞争力，逐步形成科技含量高、精加工能力强、产业链长的农副产品精深加工体系。强化“夏邑农产品”区域品牌打造。借鉴国内先行地区经验，突出产品绿色化、有机化、品牌化，尽快形成一批具有较高知名度和较强市场竞争力的区域性产品品牌和企业品牌，培育提升品牌效应。</w:t>
      </w:r>
    </w:p>
    <w:tbl>
      <w:tblPr>
        <w:tblStyle w:val="15"/>
        <w:tblW w:w="0" w:type="auto"/>
        <w:tblInd w:w="0" w:type="dxa"/>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PrEx>
        <w:tc>
          <w:tcPr>
            <w:tcW w:w="8522" w:type="dxa"/>
          </w:tcPr>
          <w:p>
            <w:pPr>
              <w:snapToGrid w:val="0"/>
              <w:jc w:val="center"/>
              <w:rPr>
                <w:rFonts w:ascii="Times New Roman" w:hAnsi="Times New Roman" w:eastAsia="楷体" w:cs="Times New Roman"/>
                <w:sz w:val="28"/>
                <w:szCs w:val="32"/>
              </w:rPr>
            </w:pPr>
            <w:r>
              <w:rPr>
                <w:rFonts w:hint="eastAsia" w:ascii="Times New Roman" w:hAnsi="Times New Roman" w:eastAsia="楷体" w:cs="Times New Roman"/>
                <w:sz w:val="28"/>
                <w:szCs w:val="32"/>
              </w:rPr>
              <w:t>专栏二</w:t>
            </w:r>
            <w:r>
              <w:rPr>
                <w:rFonts w:ascii="Times New Roman" w:hAnsi="Times New Roman" w:eastAsia="楷体" w:cs="Times New Roman"/>
                <w:sz w:val="28"/>
                <w:szCs w:val="32"/>
              </w:rPr>
              <w:t xml:space="preserve">  </w:t>
            </w:r>
            <w:r>
              <w:rPr>
                <w:rFonts w:hint="eastAsia" w:ascii="Times New Roman" w:hAnsi="Times New Roman" w:eastAsia="楷体" w:cs="Times New Roman"/>
                <w:sz w:val="28"/>
                <w:szCs w:val="32"/>
              </w:rPr>
              <w:t>招商引资“一号”工程</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PrEx>
        <w:tc>
          <w:tcPr>
            <w:tcW w:w="8522" w:type="dxa"/>
          </w:tcPr>
          <w:p>
            <w:pPr>
              <w:ind w:firstLine="480" w:firstLineChars="200"/>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坚持招商引资“一把手工程”，强化党政一把手负总责和带队外出招商，县主要领导定期听取重点招商项目洽谈情况汇报，研究解决项目推进中遇到的困难和问题。</w:t>
            </w:r>
          </w:p>
          <w:p>
            <w:pPr>
              <w:ind w:firstLine="482" w:firstLineChars="200"/>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制定产业招商路线图。</w:t>
            </w:r>
            <w:r>
              <w:rPr>
                <w:rFonts w:hint="eastAsia" w:ascii="Times New Roman" w:hAnsi="Times New Roman" w:eastAsia="仿宋_GB2312" w:cs="Times New Roman"/>
                <w:bCs/>
                <w:sz w:val="24"/>
                <w:szCs w:val="24"/>
              </w:rPr>
              <w:t>围绕纺织服装、装备制造、农产品精深加工等重点产业和数字经济、现代服务业等，制定产业招商路线图，通过联谊会、乡贤招商会、重点企业家招商座谈会等形式，组织开展长三角、粤港澳等区域的重点城市专题招商活动。积极组织参加广交会、高交会、进博会、东盟博览会等重大节会活动，拓展国际市场，寻求合作商机。</w:t>
            </w:r>
          </w:p>
          <w:p>
            <w:pPr>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sz w:val="24"/>
                <w:szCs w:val="24"/>
              </w:rPr>
              <w:t>建立“三库二单”机制。</w:t>
            </w:r>
            <w:r>
              <w:rPr>
                <w:rFonts w:hint="eastAsia" w:ascii="Times New Roman" w:hAnsi="Times New Roman" w:eastAsia="仿宋_GB2312" w:cs="Times New Roman"/>
                <w:bCs/>
                <w:sz w:val="24"/>
                <w:szCs w:val="24"/>
              </w:rPr>
              <w:t>面向全国强化招商信息排摸，建立项目推介库、项目对接库、意向客商库以及重大顶引项目责任分解清单、项目任务进展清单。</w:t>
            </w:r>
          </w:p>
          <w:p>
            <w:pPr>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sz w:val="24"/>
                <w:szCs w:val="24"/>
              </w:rPr>
              <w:t>建立招商引资“一盘棋”机制。</w:t>
            </w:r>
            <w:r>
              <w:rPr>
                <w:rFonts w:hint="eastAsia" w:ascii="Times New Roman" w:hAnsi="Times New Roman" w:eastAsia="仿宋_GB2312" w:cs="Times New Roman"/>
                <w:bCs/>
                <w:sz w:val="24"/>
                <w:szCs w:val="24"/>
              </w:rPr>
              <w:t>建立全员招商、全域招商“一盘棋”机制，压实相关部门、乡镇（街道）、管委会“一把手”招商第一人责任，配优配强招商力量。</w:t>
            </w:r>
          </w:p>
          <w:p>
            <w:pPr>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sz w:val="24"/>
                <w:szCs w:val="24"/>
              </w:rPr>
              <w:t>创新招商模式。</w:t>
            </w:r>
            <w:r>
              <w:rPr>
                <w:rFonts w:hint="eastAsia" w:ascii="Times New Roman" w:hAnsi="Times New Roman" w:eastAsia="仿宋_GB2312" w:cs="Times New Roman"/>
                <w:bCs/>
                <w:sz w:val="24"/>
                <w:szCs w:val="24"/>
              </w:rPr>
              <w:t>大力推动网络媒介招商，积极开展“云洽谈”、“云签约”为手段的“云招商”活动。充分运用市场化招商模式，积极引进专业第三方招商机构，开展中介招商、平台招商、代理招商，创建政府协调推动、市场运营管理的专业化招商新机构。</w:t>
            </w:r>
          </w:p>
        </w:tc>
      </w:tr>
    </w:tbl>
    <w:p>
      <w:pPr>
        <w:pStyle w:val="4"/>
        <w:keepNext w:val="0"/>
        <w:keepLines w:val="0"/>
        <w:spacing w:before="120" w:after="120" w:line="560" w:lineRule="exact"/>
        <w:ind w:firstLine="640" w:firstLineChars="200"/>
        <w:rPr>
          <w:rFonts w:ascii="Times New Roman" w:hAnsi="Times New Roman" w:eastAsia="楷体"/>
          <w:b w:val="0"/>
          <w:bCs w:val="0"/>
        </w:rPr>
      </w:pPr>
      <w:bookmarkStart w:id="34" w:name="_Toc65060509"/>
      <w:bookmarkStart w:id="35" w:name="_Toc59921180"/>
      <w:r>
        <w:rPr>
          <w:rFonts w:hint="eastAsia" w:ascii="Times New Roman" w:hAnsi="Times New Roman" w:eastAsia="楷体"/>
          <w:b w:val="0"/>
          <w:bCs w:val="0"/>
        </w:rPr>
        <w:t>（二）着力培育四大新兴产业</w:t>
      </w:r>
      <w:bookmarkEnd w:id="34"/>
      <w:bookmarkEnd w:id="35"/>
    </w:p>
    <w:p>
      <w:pPr>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瞄准电子商务、医械制造、节能环保、新材料四大新兴产业，以“建链、补链、强链”为重点开展精准招商，全力盯引重大产业项目，引进一批具有标志性的大项目好项目。</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电子商务产业。</w:t>
      </w:r>
      <w:r>
        <w:rPr>
          <w:rFonts w:hint="eastAsia" w:ascii="Times New Roman" w:hAnsi="Times New Roman" w:eastAsia="仿宋_GB2312"/>
          <w:sz w:val="30"/>
          <w:szCs w:val="30"/>
        </w:rPr>
        <w:t>突出应用导向，聚焦纺织服装、特色农产品等领域，加快推进电子商务产业提质扩面。以</w:t>
      </w:r>
      <w:r>
        <w:rPr>
          <w:rFonts w:hint="eastAsia" w:ascii="仿宋" w:hAnsi="仿宋" w:eastAsia="仿宋"/>
          <w:sz w:val="30"/>
          <w:szCs w:val="30"/>
        </w:rPr>
        <w:t>何营、桑</w:t>
      </w:r>
      <w:r>
        <w:rPr>
          <w:rFonts w:hint="eastAsia" w:ascii="仿宋" w:hAnsi="仿宋" w:eastAsia="仿宋" w:cs="微软雅黑"/>
          <w:sz w:val="30"/>
          <w:szCs w:val="30"/>
        </w:rPr>
        <w:t>堌</w:t>
      </w:r>
      <w:r>
        <w:rPr>
          <w:rFonts w:hint="eastAsia" w:ascii="仿宋" w:hAnsi="仿宋" w:eastAsia="仿宋" w:cs="仿宋_GB2312"/>
          <w:sz w:val="30"/>
          <w:szCs w:val="30"/>
        </w:rPr>
        <w:t>、会亭</w:t>
      </w:r>
      <w:r>
        <w:rPr>
          <w:rFonts w:hint="eastAsia" w:ascii="Times New Roman" w:hAnsi="Times New Roman" w:eastAsia="仿宋_GB2312"/>
          <w:sz w:val="30"/>
          <w:szCs w:val="30"/>
        </w:rPr>
        <w:t>等为重点，加快提升电商发展水平；以郭店、济阳、李集、车站、杨集等为重点，加快推进建设一批电商产业园。积极发展跨境电商，建设跨境电商产业园。</w:t>
      </w:r>
    </w:p>
    <w:tbl>
      <w:tblPr>
        <w:tblStyle w:val="15"/>
        <w:tblW w:w="0" w:type="auto"/>
        <w:tblInd w:w="0" w:type="dxa"/>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c>
          <w:tcPr>
            <w:tcW w:w="8522" w:type="dxa"/>
          </w:tcPr>
          <w:p>
            <w:pPr>
              <w:snapToGrid w:val="0"/>
              <w:jc w:val="center"/>
              <w:rPr>
                <w:rFonts w:ascii="Times New Roman" w:hAnsi="Times New Roman" w:eastAsia="楷体" w:cs="Times New Roman"/>
                <w:sz w:val="28"/>
                <w:szCs w:val="32"/>
              </w:rPr>
            </w:pPr>
            <w:r>
              <w:rPr>
                <w:rFonts w:hint="eastAsia" w:ascii="Times New Roman" w:hAnsi="Times New Roman" w:eastAsia="楷体" w:cs="Times New Roman"/>
                <w:sz w:val="28"/>
                <w:szCs w:val="32"/>
              </w:rPr>
              <w:t>专栏三</w:t>
            </w:r>
            <w:r>
              <w:rPr>
                <w:rFonts w:ascii="Times New Roman" w:hAnsi="Times New Roman" w:eastAsia="楷体" w:cs="Times New Roman"/>
                <w:sz w:val="28"/>
                <w:szCs w:val="32"/>
              </w:rPr>
              <w:t xml:space="preserve">  </w:t>
            </w:r>
            <w:r>
              <w:rPr>
                <w:rFonts w:hint="eastAsia" w:ascii="Times New Roman" w:hAnsi="Times New Roman" w:eastAsia="楷体" w:cs="Times New Roman"/>
                <w:sz w:val="28"/>
                <w:szCs w:val="32"/>
              </w:rPr>
              <w:t>电商产业提升发展工程</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c>
          <w:tcPr>
            <w:tcW w:w="8522" w:type="dxa"/>
          </w:tcPr>
          <w:p>
            <w:pPr>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sz w:val="24"/>
                <w:szCs w:val="24"/>
              </w:rPr>
              <w:t>产业融合提升行动。</w:t>
            </w:r>
            <w:r>
              <w:rPr>
                <w:rFonts w:hint="eastAsia" w:ascii="Times New Roman" w:hAnsi="Times New Roman" w:eastAsia="仿宋_GB2312" w:cs="Times New Roman"/>
                <w:bCs/>
                <w:sz w:val="24"/>
                <w:szCs w:val="24"/>
              </w:rPr>
              <w:t>加快推进电商产业与纺织服装、特色农产品以及文化旅游等产业深入融合，制定特色产业电商平台发展指南，推进优势实体产业与平台经济深度融合。到</w:t>
            </w:r>
            <w:r>
              <w:rPr>
                <w:rFonts w:ascii="Times New Roman" w:hAnsi="Times New Roman" w:eastAsia="仿宋_GB2312" w:cs="Times New Roman"/>
                <w:bCs/>
                <w:sz w:val="24"/>
                <w:szCs w:val="24"/>
              </w:rPr>
              <w:t>2025</w:t>
            </w:r>
            <w:r>
              <w:rPr>
                <w:rFonts w:hint="eastAsia" w:ascii="Times New Roman" w:hAnsi="Times New Roman" w:eastAsia="仿宋_GB2312" w:cs="Times New Roman"/>
                <w:bCs/>
                <w:sz w:val="24"/>
                <w:szCs w:val="24"/>
              </w:rPr>
              <w:t>年争创</w:t>
            </w:r>
            <w:r>
              <w:rPr>
                <w:rFonts w:ascii="Times New Roman" w:hAnsi="Times New Roman" w:eastAsia="仿宋_GB2312" w:cs="Times New Roman"/>
                <w:bCs/>
                <w:sz w:val="24"/>
                <w:szCs w:val="24"/>
              </w:rPr>
              <w:t>5</w:t>
            </w:r>
            <w:r>
              <w:rPr>
                <w:rFonts w:hint="eastAsia" w:ascii="Times New Roman" w:hAnsi="Times New Roman" w:eastAsia="仿宋_GB2312" w:cs="Times New Roman"/>
                <w:bCs/>
                <w:sz w:val="24"/>
                <w:szCs w:val="24"/>
              </w:rPr>
              <w:t>家以上省级电商产业示范基地、建设</w:t>
            </w:r>
            <w:r>
              <w:rPr>
                <w:rFonts w:ascii="Times New Roman" w:hAnsi="Times New Roman" w:eastAsia="仿宋_GB2312" w:cs="Times New Roman"/>
                <w:bCs/>
                <w:sz w:val="24"/>
                <w:szCs w:val="24"/>
              </w:rPr>
              <w:t>1</w:t>
            </w:r>
            <w:r>
              <w:rPr>
                <w:rFonts w:hint="eastAsia" w:ascii="Times New Roman" w:hAnsi="Times New Roman" w:eastAsia="仿宋_GB2312" w:cs="Times New Roman"/>
                <w:bCs/>
                <w:sz w:val="24"/>
                <w:szCs w:val="24"/>
              </w:rPr>
              <w:t>个跨境电商产业园。</w:t>
            </w:r>
          </w:p>
          <w:p>
            <w:pPr>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sz w:val="24"/>
                <w:szCs w:val="24"/>
              </w:rPr>
              <w:t>品牌品质提升行动</w:t>
            </w:r>
            <w:r>
              <w:rPr>
                <w:rFonts w:hint="eastAsia" w:ascii="Times New Roman" w:hAnsi="Times New Roman" w:eastAsia="仿宋_GB2312" w:cs="Times New Roman"/>
                <w:bCs/>
                <w:sz w:val="24"/>
                <w:szCs w:val="24"/>
              </w:rPr>
              <w:t>。以夏邑特色农产品为重点，积极打造区域品牌和“网红”产品；支持具备条件的电商企业大力发展网络品牌，提升品牌附加值和软实力；建立全覆盖的电商质量检查监督机制，推进企业加强产品品质管控，提升电商产品质量。</w:t>
            </w:r>
          </w:p>
          <w:p>
            <w:pPr>
              <w:ind w:firstLine="482" w:firstLineChars="200"/>
              <w:rPr>
                <w:rFonts w:ascii="Times New Roman" w:hAnsi="Times New Roman" w:eastAsia="楷体" w:cs="Times New Roman"/>
                <w:sz w:val="28"/>
                <w:szCs w:val="32"/>
              </w:rPr>
            </w:pPr>
            <w:r>
              <w:rPr>
                <w:rFonts w:hint="eastAsia" w:ascii="Times New Roman" w:hAnsi="Times New Roman" w:eastAsia="仿宋_GB2312" w:cs="Times New Roman"/>
                <w:b/>
                <w:sz w:val="24"/>
                <w:szCs w:val="24"/>
              </w:rPr>
              <w:t>电商人才培养行动。</w:t>
            </w:r>
            <w:r>
              <w:rPr>
                <w:rFonts w:hint="eastAsia" w:ascii="Times New Roman" w:hAnsi="Times New Roman" w:eastAsia="仿宋_GB2312" w:cs="Times New Roman"/>
                <w:bCs/>
                <w:sz w:val="24"/>
                <w:szCs w:val="24"/>
              </w:rPr>
              <w:t>深化校地、政企合作，支持开办电商培训学校和电商培训班，推进电商知识普及、电商创业和技能培训以及干部教育培训，补齐电商人才短板。</w:t>
            </w:r>
          </w:p>
        </w:tc>
      </w:tr>
    </w:tbl>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医械制造产业。</w:t>
      </w:r>
      <w:r>
        <w:rPr>
          <w:rFonts w:hint="eastAsia" w:ascii="Times New Roman" w:hAnsi="Times New Roman" w:eastAsia="仿宋_GB2312"/>
          <w:sz w:val="30"/>
          <w:szCs w:val="30"/>
        </w:rPr>
        <w:t>以高端医用手套、智能医械等为重点，以医药高端医用手套等重点项目实施为契机，着力引进一批医械制造企业和项目，推进产业链纵向延伸和横向拓展，把医械制造业打造成为夏邑未来主导产业。</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节能环保产业。</w:t>
      </w:r>
      <w:r>
        <w:rPr>
          <w:rFonts w:hint="eastAsia" w:ascii="Times New Roman" w:hAnsi="Times New Roman" w:eastAsia="仿宋_GB2312"/>
          <w:sz w:val="30"/>
          <w:szCs w:val="30"/>
        </w:rPr>
        <w:t>以静脉产业为重点，加快推进静脉产业园建设，着力构建资源回收利用体系，大力发展以垃圾回收和再资源化利用为重点的静脉产业，打造节能环保产业发展“夏邑模式”。</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新材料产业。</w:t>
      </w:r>
      <w:r>
        <w:rPr>
          <w:rFonts w:hint="eastAsia" w:ascii="Times New Roman" w:hAnsi="Times New Roman" w:eastAsia="仿宋_GB2312"/>
          <w:sz w:val="30"/>
          <w:szCs w:val="30"/>
        </w:rPr>
        <w:t>加快推进无纺布、装配式建筑发展，重点推广应用装配式建筑、现代化成套技术、新型墙体材料等；积极延伸产业链，打造智能现代住建特色产业集群；积极申请区域新型建材示范试点，建设新型建材应用示范工程；依托区位和交通优势，打造豫鲁苏皖四省边际重要的新型建筑建材市场。</w:t>
      </w:r>
    </w:p>
    <w:p>
      <w:pPr>
        <w:spacing w:before="120" w:after="120" w:line="560" w:lineRule="exact"/>
        <w:ind w:firstLine="640" w:firstLineChars="200"/>
        <w:outlineLvl w:val="1"/>
        <w:rPr>
          <w:rFonts w:ascii="Times New Roman" w:hAnsi="Times New Roman" w:eastAsia="楷体" w:cstheme="majorBidi"/>
          <w:sz w:val="32"/>
          <w:szCs w:val="32"/>
        </w:rPr>
      </w:pPr>
      <w:bookmarkStart w:id="36" w:name="_Toc65060510"/>
      <w:r>
        <w:rPr>
          <w:rFonts w:hint="eastAsia" w:ascii="Times New Roman" w:hAnsi="Times New Roman" w:eastAsia="楷体" w:cstheme="majorBidi"/>
          <w:sz w:val="32"/>
          <w:szCs w:val="32"/>
        </w:rPr>
        <w:t>（三）做精做优特色优势产业</w:t>
      </w:r>
      <w:bookmarkEnd w:id="36"/>
    </w:p>
    <w:p>
      <w:pPr>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大力推进打火机、家居板材、手工艺品等特色优势产业进一步做精做优、提质增效。</w:t>
      </w:r>
      <w:r>
        <w:rPr>
          <w:rFonts w:hint="eastAsia" w:ascii="Times New Roman" w:hAnsi="Times New Roman" w:eastAsia="仿宋_GB2312"/>
          <w:b/>
          <w:bCs/>
          <w:sz w:val="30"/>
          <w:szCs w:val="30"/>
        </w:rPr>
        <w:t>打火机制造业。</w:t>
      </w:r>
      <w:r>
        <w:rPr>
          <w:rFonts w:hint="eastAsia" w:ascii="Times New Roman" w:hAnsi="Times New Roman" w:eastAsia="仿宋_GB2312"/>
          <w:sz w:val="30"/>
          <w:szCs w:val="30"/>
        </w:rPr>
        <w:t>进一步完善产品研发、零配件制造、产品组装、外贸出口产业链，积极研发生产新一代打火机产品，加快推进建设打火机产业园建设，打造成为全国有重大影响力的打火机产业生产地和全国最大的打火机集散地。</w:t>
      </w:r>
      <w:r>
        <w:rPr>
          <w:rFonts w:hint="eastAsia" w:ascii="Times New Roman" w:hAnsi="Times New Roman" w:eastAsia="仿宋_GB2312"/>
          <w:b/>
          <w:bCs/>
          <w:sz w:val="30"/>
          <w:szCs w:val="30"/>
        </w:rPr>
        <w:t>家居板材制造业。</w:t>
      </w:r>
      <w:r>
        <w:rPr>
          <w:rFonts w:hint="eastAsia" w:ascii="Times New Roman" w:hAnsi="Times New Roman" w:eastAsia="仿宋_GB2312"/>
          <w:sz w:val="30"/>
          <w:szCs w:val="30"/>
        </w:rPr>
        <w:t>提升发展中高密度板、异形板、木地板等板材，培育发展高端家居制造，推进建立木质家居及人造板质量监督检验中心，打造国家级林业产业示范园区。</w:t>
      </w:r>
      <w:r>
        <w:rPr>
          <w:rFonts w:hint="eastAsia" w:ascii="Times New Roman" w:hAnsi="Times New Roman" w:eastAsia="仿宋_GB2312"/>
          <w:b/>
          <w:bCs/>
          <w:sz w:val="30"/>
          <w:szCs w:val="30"/>
        </w:rPr>
        <w:t>手工艺品制造业。</w:t>
      </w:r>
      <w:r>
        <w:rPr>
          <w:rFonts w:hint="eastAsia" w:ascii="Times New Roman" w:hAnsi="Times New Roman" w:eastAsia="仿宋_GB2312"/>
          <w:sz w:val="30"/>
          <w:szCs w:val="30"/>
        </w:rPr>
        <w:t>着力推进宫灯、旗穗、刺绣、中国结等传统手工艺品提升发展，规划建设手工艺品交易展示中心，打造全国重要的特色手工艺品生产基地。</w:t>
      </w:r>
    </w:p>
    <w:p>
      <w:pPr>
        <w:pStyle w:val="4"/>
        <w:keepNext w:val="0"/>
        <w:keepLines w:val="0"/>
        <w:spacing w:before="120" w:after="120" w:line="560" w:lineRule="exact"/>
        <w:ind w:firstLine="640" w:firstLineChars="200"/>
        <w:rPr>
          <w:rFonts w:ascii="Times New Roman" w:hAnsi="Times New Roman" w:eastAsia="楷体"/>
          <w:b w:val="0"/>
          <w:bCs w:val="0"/>
        </w:rPr>
      </w:pPr>
      <w:bookmarkStart w:id="37" w:name="_Toc65060511"/>
      <w:bookmarkStart w:id="38" w:name="_Toc59921181"/>
      <w:r>
        <w:rPr>
          <w:rFonts w:hint="eastAsia" w:ascii="Times New Roman" w:hAnsi="Times New Roman" w:eastAsia="楷体"/>
          <w:b w:val="0"/>
          <w:bCs w:val="0"/>
        </w:rPr>
        <w:t>（四）</w:t>
      </w:r>
      <w:bookmarkStart w:id="39" w:name="_Hlk59991008"/>
      <w:r>
        <w:rPr>
          <w:rFonts w:hint="eastAsia" w:ascii="Times New Roman" w:hAnsi="Times New Roman" w:eastAsia="楷体"/>
          <w:b w:val="0"/>
          <w:bCs w:val="0"/>
        </w:rPr>
        <w:t>推动服务业创新融合发展</w:t>
      </w:r>
      <w:bookmarkEnd w:id="37"/>
      <w:bookmarkEnd w:id="38"/>
      <w:bookmarkEnd w:id="39"/>
    </w:p>
    <w:p>
      <w:pPr>
        <w:pStyle w:val="5"/>
        <w:spacing w:line="560" w:lineRule="exact"/>
        <w:ind w:firstLine="602"/>
        <w:rPr>
          <w:rFonts w:eastAsia="仿宋_GB2312" w:cs="Times New Roman"/>
          <w:bCs/>
          <w:sz w:val="30"/>
          <w:szCs w:val="30"/>
        </w:rPr>
      </w:pPr>
      <w:r>
        <w:rPr>
          <w:rFonts w:hint="eastAsia" w:eastAsia="仿宋_GB2312" w:cs="Times New Roman"/>
          <w:b/>
          <w:sz w:val="30"/>
          <w:szCs w:val="30"/>
        </w:rPr>
        <w:t>推动生产性服务业专业化、高端化发展。</w:t>
      </w:r>
      <w:r>
        <w:rPr>
          <w:rFonts w:hint="eastAsia" w:eastAsia="仿宋_GB2312" w:cs="Times New Roman"/>
          <w:bCs/>
          <w:sz w:val="30"/>
          <w:szCs w:val="30"/>
        </w:rPr>
        <w:t>以配套服务制造业高质量发展为重点，围绕夏邑实体经济发展需求，支持以制造业企业为中心的网络化协同制造服务体系建设，瞄准带动力强、供需矛盾突出的关键领域，加快生产型服务业升级。大力发展工业设计、智慧物流、数字贸易服务等重点行业，积极培育检验检测认证服务、节能环保服务、商务服务、人力资源服务等新兴生产性服务业。重点依托产业集聚区、商务中心区等平台载体，打造一批高能级的生产性服务业集聚区，促进生产性服务业向专业化和价值链高端延伸，为制造业高质量发展提供持续动力。</w:t>
      </w:r>
    </w:p>
    <w:p>
      <w:pPr>
        <w:pStyle w:val="5"/>
        <w:spacing w:line="560" w:lineRule="exact"/>
        <w:ind w:firstLine="602"/>
        <w:rPr>
          <w:rFonts w:eastAsia="仿宋_GB2312" w:cs="Times New Roman"/>
          <w:bCs/>
          <w:sz w:val="30"/>
          <w:szCs w:val="30"/>
        </w:rPr>
      </w:pPr>
      <w:r>
        <w:rPr>
          <w:rFonts w:hint="eastAsia" w:eastAsia="仿宋_GB2312" w:cs="Times New Roman"/>
          <w:b/>
          <w:sz w:val="30"/>
          <w:szCs w:val="30"/>
        </w:rPr>
        <w:t>推动生活性服务业精细化、品质化发展。</w:t>
      </w:r>
      <w:r>
        <w:rPr>
          <w:rFonts w:hint="eastAsia" w:eastAsia="仿宋_GB2312" w:cs="Times New Roman"/>
          <w:bCs/>
          <w:sz w:val="30"/>
          <w:szCs w:val="30"/>
        </w:rPr>
        <w:t>以满足人民美好生活需要为重点，紧抓服务型消费升级机遇，积极拓展中高端消费、培育消费热点。重点提质发展现代商贸、康体养老、文化旅游三大生活性服务业，打造线上线下协同互动消费新生态，培育一批高品质类消费热点，实施一批发展前景好、带动作用大、示范效应强的消费项目，借助夏邑地理区位优势，打造区域性消费中心城市与豫东消费拉动型经济增长先行县。</w:t>
      </w:r>
    </w:p>
    <w:p>
      <w:pPr>
        <w:pStyle w:val="5"/>
        <w:spacing w:line="560" w:lineRule="exact"/>
        <w:ind w:firstLine="602"/>
        <w:rPr>
          <w:rFonts w:eastAsia="仿宋_GB2312" w:cs="Times New Roman"/>
          <w:bCs/>
          <w:sz w:val="30"/>
          <w:szCs w:val="30"/>
        </w:rPr>
      </w:pPr>
      <w:r>
        <w:rPr>
          <w:rFonts w:hint="eastAsia" w:eastAsia="仿宋_GB2312" w:cs="Times New Roman"/>
          <w:b/>
          <w:sz w:val="30"/>
          <w:szCs w:val="30"/>
        </w:rPr>
        <w:t>培育六大新兴服务业。</w:t>
      </w:r>
      <w:r>
        <w:rPr>
          <w:rFonts w:hint="eastAsia" w:eastAsia="仿宋_GB2312" w:cs="Times New Roman"/>
          <w:bCs/>
          <w:sz w:val="30"/>
          <w:szCs w:val="30"/>
        </w:rPr>
        <w:t>以推动服务业创新发展为重点，顺应服务业发展新趋势，培育发展平台经济、共享经济、体验经济、创意经济、网红经济、夜间经济等新经济业态。平台经济，重点围绕制造业发展需求，发展电子商务平台、物流服务平台、云服务平台、政务服务平台、“云上夏邑”、智慧广电平台等，培育一批特色鲜明、竞争力强的平台经济品牌企业。共享经济，重点采用云计算、大数据、人工智能等新技术，在制造业、服务业、农业领域发展共享经济业态。体验经济，重点发展社交化、情景化和智能化新商圈，创新线上线下新型体验服务等。创意经济，重点依托文化资源优势，发展影视演艺、数字内容、创意设计、工艺美术等领域。网红经济，在商务中心区、天龙湖风景区等地，谋划并办响一批高水平特色节会，并融入“网红打卡”、“网红真人秀”、“网红才艺展”等活动，依托抖音、短视频、网络直播等新媒体传播方式，做强“网红经济”。夜间经济，通过谋划“夜景观”、“夜活动”、“夜演艺”、“夜消费”等项目，加快打造“夜经济”地标与夜间网红“打卡”地。重点打造古运河“夜景观”休闲区，天龙湖“夜演艺”观赏区，和谐大道、孔祖大道、县府路等“夜活动”“夜消费”体验区。</w:t>
      </w:r>
    </w:p>
    <w:p>
      <w:pPr>
        <w:pStyle w:val="4"/>
        <w:keepNext w:val="0"/>
        <w:keepLines w:val="0"/>
        <w:spacing w:before="120" w:after="120" w:line="560" w:lineRule="exact"/>
        <w:ind w:firstLine="640" w:firstLineChars="200"/>
        <w:rPr>
          <w:rFonts w:ascii="Times New Roman" w:hAnsi="Times New Roman" w:eastAsia="楷体"/>
          <w:b w:val="0"/>
          <w:bCs w:val="0"/>
        </w:rPr>
      </w:pPr>
      <w:bookmarkStart w:id="40" w:name="_Toc59921182"/>
      <w:bookmarkStart w:id="41" w:name="_Toc65060512"/>
      <w:r>
        <w:rPr>
          <w:rFonts w:hint="eastAsia" w:ascii="Times New Roman" w:hAnsi="Times New Roman" w:eastAsia="楷体"/>
          <w:b w:val="0"/>
          <w:bCs w:val="0"/>
        </w:rPr>
        <w:t>（五）建设高水平产业发展大平台</w:t>
      </w:r>
      <w:bookmarkEnd w:id="40"/>
      <w:bookmarkEnd w:id="41"/>
    </w:p>
    <w:p>
      <w:pPr>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以现有县产业集聚区为核心，提升打造省级高新技术产业园区，在县域重点乡镇规划建设一批产业特色小镇和现代农业发展园区，着力构建“一核多点多园”产业发展大平台。</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整合提升全县产业发展平台，打造高能级一体化产业集聚区。</w:t>
      </w:r>
      <w:r>
        <w:rPr>
          <w:rFonts w:hint="eastAsia" w:ascii="Times New Roman" w:hAnsi="Times New Roman" w:eastAsia="仿宋_GB2312"/>
          <w:sz w:val="30"/>
          <w:szCs w:val="30"/>
        </w:rPr>
        <w:t>借鉴发达区域开发区（园区）整合提升经验，以县产业集聚区为核心，在各乡镇划定区域作为产业集聚区的分片区，统一规划、统一招商、统一推广，构建县产业集聚区“一区多片”发展格局，形成布局规范、分工协作、以强带弱、资源共享的发展态势，联合提升打造为省级高新技术产业园区，到</w:t>
      </w:r>
      <w:r>
        <w:rPr>
          <w:rFonts w:ascii="Times New Roman" w:hAnsi="Times New Roman" w:eastAsia="仿宋_GB2312"/>
          <w:sz w:val="30"/>
          <w:szCs w:val="30"/>
        </w:rPr>
        <w:t>2025</w:t>
      </w:r>
      <w:r>
        <w:rPr>
          <w:rFonts w:hint="eastAsia" w:ascii="Times New Roman" w:hAnsi="Times New Roman" w:eastAsia="仿宋_GB2312"/>
          <w:sz w:val="30"/>
          <w:szCs w:val="30"/>
        </w:rPr>
        <w:t>年力争打造成为中部地区时尚产业示范区。</w:t>
      </w:r>
    </w:p>
    <w:tbl>
      <w:tblPr>
        <w:tblStyle w:val="15"/>
        <w:tblW w:w="0" w:type="auto"/>
        <w:tblInd w:w="0" w:type="dxa"/>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PrEx>
        <w:tc>
          <w:tcPr>
            <w:tcW w:w="8522" w:type="dxa"/>
          </w:tcPr>
          <w:p>
            <w:pPr>
              <w:snapToGrid w:val="0"/>
              <w:jc w:val="center"/>
              <w:rPr>
                <w:rFonts w:ascii="Times New Roman" w:hAnsi="Times New Roman" w:eastAsia="楷体" w:cs="Times New Roman"/>
                <w:sz w:val="28"/>
                <w:szCs w:val="32"/>
              </w:rPr>
            </w:pPr>
            <w:r>
              <w:rPr>
                <w:rFonts w:hint="eastAsia" w:ascii="Times New Roman" w:hAnsi="Times New Roman" w:eastAsia="楷体" w:cs="Times New Roman"/>
                <w:sz w:val="28"/>
                <w:szCs w:val="32"/>
              </w:rPr>
              <w:t>专栏四</w:t>
            </w:r>
            <w:r>
              <w:rPr>
                <w:rFonts w:ascii="Times New Roman" w:hAnsi="Times New Roman" w:eastAsia="楷体" w:cs="Times New Roman"/>
                <w:sz w:val="28"/>
                <w:szCs w:val="32"/>
              </w:rPr>
              <w:t xml:space="preserve">  </w:t>
            </w:r>
            <w:bookmarkStart w:id="42" w:name="_Hlk59993549"/>
            <w:r>
              <w:rPr>
                <w:rFonts w:hint="eastAsia" w:ascii="Times New Roman" w:hAnsi="Times New Roman" w:eastAsia="楷体" w:cs="Times New Roman"/>
                <w:sz w:val="28"/>
                <w:szCs w:val="32"/>
              </w:rPr>
              <w:t>产业集聚区整合提升工程</w:t>
            </w:r>
            <w:bookmarkEnd w:id="42"/>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c>
          <w:tcPr>
            <w:tcW w:w="8522" w:type="dxa"/>
          </w:tcPr>
          <w:p>
            <w:pPr>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sz w:val="24"/>
                <w:szCs w:val="24"/>
              </w:rPr>
              <w:t>明确“一核多片”发展导向。以产业集聚区为“核心区”。</w:t>
            </w:r>
            <w:r>
              <w:rPr>
                <w:rFonts w:hint="eastAsia" w:ascii="Times New Roman" w:hAnsi="Times New Roman" w:eastAsia="仿宋_GB2312" w:cs="Times New Roman"/>
                <w:bCs/>
                <w:sz w:val="24"/>
                <w:szCs w:val="24"/>
              </w:rPr>
              <w:t>规划面积</w:t>
            </w:r>
            <w:r>
              <w:rPr>
                <w:rFonts w:ascii="Times New Roman" w:hAnsi="Times New Roman" w:eastAsia="仿宋_GB2312" w:cs="Times New Roman"/>
                <w:bCs/>
                <w:sz w:val="24"/>
                <w:szCs w:val="24"/>
              </w:rPr>
              <w:t>19.44</w:t>
            </w:r>
            <w:r>
              <w:rPr>
                <w:rFonts w:hint="eastAsia" w:ascii="Times New Roman" w:hAnsi="Times New Roman" w:eastAsia="仿宋_GB2312" w:cs="Times New Roman"/>
                <w:bCs/>
                <w:sz w:val="24"/>
                <w:szCs w:val="24"/>
              </w:rPr>
              <w:t>平方公里，大力发展纺织服装、先进装备制造、农副产品加工等主导产业；提升面料创新、产品设计、市场营销等能力和水平，推进纺织服装向时尚产业跨越。</w:t>
            </w:r>
            <w:r>
              <w:rPr>
                <w:rFonts w:hint="eastAsia" w:ascii="Times New Roman" w:hAnsi="Times New Roman" w:eastAsia="仿宋_GB2312" w:cs="Times New Roman"/>
                <w:b/>
                <w:sz w:val="24"/>
                <w:szCs w:val="24"/>
              </w:rPr>
              <w:t>整合设立“</w:t>
            </w:r>
            <w:r>
              <w:rPr>
                <w:rFonts w:ascii="Times New Roman" w:hAnsi="Times New Roman" w:eastAsia="仿宋_GB2312" w:cs="Times New Roman"/>
                <w:b/>
                <w:sz w:val="24"/>
                <w:szCs w:val="24"/>
              </w:rPr>
              <w:t>X</w:t>
            </w:r>
            <w:r>
              <w:rPr>
                <w:rFonts w:hint="eastAsia" w:ascii="Times New Roman" w:hAnsi="Times New Roman" w:eastAsia="仿宋_GB2312" w:cs="Times New Roman"/>
                <w:b/>
                <w:sz w:val="24"/>
                <w:szCs w:val="24"/>
              </w:rPr>
              <w:t>片区”。</w:t>
            </w:r>
            <w:r>
              <w:rPr>
                <w:rFonts w:hint="eastAsia" w:ascii="Times New Roman" w:hAnsi="Times New Roman" w:eastAsia="仿宋_GB2312" w:cs="Times New Roman"/>
                <w:bCs/>
                <w:sz w:val="24"/>
                <w:szCs w:val="24"/>
              </w:rPr>
              <w:t>在何营、郭店、会亭、车站、杨集、</w:t>
            </w:r>
            <w:r>
              <w:rPr>
                <w:rFonts w:hint="eastAsia" w:ascii="Times New Roman" w:hAnsi="Times New Roman" w:eastAsia="仿宋_GB2312" w:cs="仿宋_GB2312"/>
                <w:bCs/>
                <w:sz w:val="24"/>
                <w:szCs w:val="24"/>
              </w:rPr>
              <w:t>曹集、北岭、胡桥等乡镇，结合各自区位、产业优势基础，打造产业各异、</w:t>
            </w:r>
            <w:r>
              <w:rPr>
                <w:rFonts w:hint="eastAsia" w:ascii="Times New Roman" w:hAnsi="Times New Roman" w:eastAsia="仿宋_GB2312" w:cs="Times New Roman"/>
                <w:bCs/>
                <w:sz w:val="24"/>
                <w:szCs w:val="24"/>
              </w:rPr>
              <w:t>特色鲜明的集聚区分片区。</w:t>
            </w:r>
          </w:p>
          <w:p>
            <w:pPr>
              <w:ind w:firstLine="482" w:firstLineChars="200"/>
              <w:rPr>
                <w:rFonts w:ascii="Times New Roman" w:hAnsi="Times New Roman" w:eastAsia="楷体" w:cs="Times New Roman"/>
                <w:sz w:val="28"/>
                <w:szCs w:val="32"/>
              </w:rPr>
            </w:pPr>
            <w:r>
              <w:rPr>
                <w:rFonts w:hint="eastAsia" w:ascii="Times New Roman" w:hAnsi="Times New Roman" w:eastAsia="仿宋_GB2312" w:cs="Times New Roman"/>
                <w:b/>
                <w:sz w:val="24"/>
                <w:szCs w:val="24"/>
              </w:rPr>
              <w:t>优化体制机制。</w:t>
            </w:r>
            <w:r>
              <w:rPr>
                <w:rFonts w:hint="eastAsia" w:ascii="Times New Roman" w:hAnsi="Times New Roman" w:eastAsia="仿宋_GB2312" w:cs="Times New Roman"/>
                <w:bCs/>
                <w:sz w:val="24"/>
                <w:szCs w:val="24"/>
              </w:rPr>
              <w:t>按照优化协同、统一高效的原则，综合设置管理机构，形成集中统一、精简高效的体制架构，实行统一“牌子”、统一规划、统一招商、统一协调，厘清与属地政府职能边界，探索独立核算机制，建立与属地乡镇收益分成制度。</w:t>
            </w:r>
          </w:p>
        </w:tc>
      </w:tr>
    </w:tbl>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规划建设产业特色小镇，打造“三个起来”引领区。</w:t>
      </w:r>
      <w:r>
        <w:rPr>
          <w:rFonts w:hint="eastAsia" w:ascii="Times New Roman" w:hAnsi="Times New Roman" w:eastAsia="仿宋_GB2312"/>
          <w:sz w:val="30"/>
          <w:szCs w:val="30"/>
        </w:rPr>
        <w:t>在车站、会亭、马头等有产业基础、有发展空间、有区位条件的乡镇，在节约集约用地的基础上，规划布局一批面积在</w:t>
      </w:r>
      <w:r>
        <w:rPr>
          <w:rFonts w:ascii="Times New Roman" w:hAnsi="Times New Roman" w:eastAsia="仿宋_GB2312"/>
          <w:sz w:val="30"/>
          <w:szCs w:val="30"/>
        </w:rPr>
        <w:t>3</w:t>
      </w:r>
      <w:r>
        <w:rPr>
          <w:rFonts w:hint="eastAsia" w:ascii="Times New Roman" w:hAnsi="Times New Roman" w:eastAsia="仿宋_GB2312"/>
          <w:sz w:val="30"/>
          <w:szCs w:val="30"/>
        </w:rPr>
        <w:t>平方公里左右的产业特色小镇，重点发展农副产品精深加工、文化休闲用品制造、农村电商、文化旅游、中药材等特色产业。到</w:t>
      </w:r>
      <w:r>
        <w:rPr>
          <w:rFonts w:ascii="Times New Roman" w:hAnsi="Times New Roman" w:eastAsia="仿宋_GB2312"/>
          <w:sz w:val="30"/>
          <w:szCs w:val="30"/>
        </w:rPr>
        <w:t>2025</w:t>
      </w:r>
      <w:r>
        <w:rPr>
          <w:rFonts w:hint="eastAsia" w:ascii="Times New Roman" w:hAnsi="Times New Roman" w:eastAsia="仿宋_GB2312"/>
          <w:sz w:val="30"/>
          <w:szCs w:val="30"/>
        </w:rPr>
        <w:t>年力争建成</w:t>
      </w:r>
      <w:r>
        <w:rPr>
          <w:rFonts w:ascii="Times New Roman" w:hAnsi="Times New Roman" w:eastAsia="仿宋_GB2312"/>
          <w:sz w:val="30"/>
          <w:szCs w:val="30"/>
        </w:rPr>
        <w:t>2</w:t>
      </w:r>
      <w:r>
        <w:rPr>
          <w:rFonts w:hint="eastAsia" w:ascii="Times New Roman" w:hAnsi="Times New Roman" w:eastAsia="仿宋_GB2312"/>
          <w:sz w:val="30"/>
          <w:szCs w:val="30"/>
        </w:rPr>
        <w:t>-</w:t>
      </w:r>
      <w:r>
        <w:rPr>
          <w:rFonts w:ascii="Times New Roman" w:hAnsi="Times New Roman" w:eastAsia="仿宋_GB2312"/>
          <w:sz w:val="30"/>
          <w:szCs w:val="30"/>
        </w:rPr>
        <w:t>3</w:t>
      </w:r>
      <w:r>
        <w:rPr>
          <w:rFonts w:hint="eastAsia" w:ascii="Times New Roman" w:hAnsi="Times New Roman" w:eastAsia="仿宋_GB2312"/>
          <w:sz w:val="30"/>
          <w:szCs w:val="30"/>
        </w:rPr>
        <w:t>个产业特色鲜明、功能定位清晰、区域带动效应显著的产业特色小镇，打造县域治理“三起来”的引领区。</w:t>
      </w:r>
    </w:p>
    <w:p>
      <w:pPr>
        <w:spacing w:line="560" w:lineRule="exac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加快完善平台配套服务，打造产城融合发展样板区。</w:t>
      </w:r>
      <w:r>
        <w:rPr>
          <w:rFonts w:hint="eastAsia" w:ascii="Times New Roman" w:hAnsi="Times New Roman" w:eastAsia="仿宋_GB2312" w:cs="Times New Roman"/>
          <w:sz w:val="30"/>
          <w:szCs w:val="30"/>
        </w:rPr>
        <w:t>推动产业集聚区建立“八个一”综合服务平台，提供“一站式”服务。鼓励和支持社会资本参与产业集聚区公共试验、公共检测、金融服务、人才培养等公共服务平台建设。整合质量技术监督检测中心及全县农业、卫生、食品药品、建材、纺织服装、打火机等行业检测资源，成立夏邑县检测中心。规范发展技术评估、监测认证、产权交易、生产力促进中心等中介机构。提升生活服务配套能力，规划建设高水平的教育、医疗、文化、娱乐以及人才公寓等设施。</w:t>
      </w:r>
    </w:p>
    <w:p>
      <w:pPr>
        <w:spacing w:line="560" w:lineRule="exact"/>
        <w:ind w:firstLine="600" w:firstLineChars="200"/>
        <w:rPr>
          <w:rFonts w:ascii="Times New Roman" w:hAnsi="Times New Roman" w:eastAsia="仿宋_GB2312" w:cs="Times New Roman"/>
          <w:sz w:val="30"/>
          <w:szCs w:val="30"/>
        </w:rPr>
      </w:pPr>
    </w:p>
    <w:p>
      <w:pPr>
        <w:spacing w:line="560" w:lineRule="exact"/>
        <w:ind w:firstLine="600" w:firstLineChars="200"/>
        <w:rPr>
          <w:rFonts w:ascii="Times New Roman" w:hAnsi="Times New Roman" w:eastAsia="仿宋_GB2312" w:cs="Times New Roman"/>
          <w:sz w:val="30"/>
          <w:szCs w:val="30"/>
        </w:rPr>
        <w:sectPr>
          <w:pgSz w:w="11906" w:h="16838"/>
          <w:pgMar w:top="1440" w:right="1800" w:bottom="1440" w:left="1800" w:header="851" w:footer="992" w:gutter="0"/>
          <w:cols w:space="425" w:num="1"/>
          <w:docGrid w:type="lines" w:linePitch="312" w:charSpace="0"/>
        </w:sectPr>
      </w:pPr>
    </w:p>
    <w:p>
      <w:pPr>
        <w:spacing w:before="156" w:beforeLines="50" w:after="156" w:afterLines="50"/>
        <w:ind w:firstLine="616" w:firstLineChars="200"/>
        <w:outlineLvl w:val="0"/>
        <w:rPr>
          <w:rFonts w:ascii="Times New Roman" w:hAnsi="Times New Roman" w:eastAsia="黑体" w:cs="Times New Roman"/>
          <w:spacing w:val="-6"/>
          <w:sz w:val="32"/>
          <w:szCs w:val="32"/>
        </w:rPr>
      </w:pPr>
      <w:bookmarkStart w:id="43" w:name="_Toc65060513"/>
      <w:bookmarkStart w:id="44" w:name="_Toc59921183"/>
      <w:bookmarkStart w:id="45" w:name="_Hlk59990695"/>
      <w:r>
        <w:rPr>
          <w:rFonts w:hint="eastAsia" w:ascii="Times New Roman" w:hAnsi="Times New Roman" w:eastAsia="黑体" w:cs="Times New Roman"/>
          <w:spacing w:val="-6"/>
          <w:sz w:val="32"/>
          <w:szCs w:val="32"/>
        </w:rPr>
        <w:t>四、</w:t>
      </w:r>
      <w:bookmarkStart w:id="46" w:name="_Hlk59016739"/>
      <w:r>
        <w:rPr>
          <w:rFonts w:hint="eastAsia" w:ascii="Times New Roman" w:hAnsi="Times New Roman" w:eastAsia="黑体" w:cs="Times New Roman"/>
          <w:spacing w:val="-6"/>
          <w:sz w:val="32"/>
          <w:szCs w:val="32"/>
        </w:rPr>
        <w:t>全面推进创新驱动赋能增效，构建高质量发展新动能</w:t>
      </w:r>
      <w:bookmarkEnd w:id="43"/>
      <w:bookmarkEnd w:id="44"/>
    </w:p>
    <w:bookmarkEnd w:id="45"/>
    <w:bookmarkEnd w:id="46"/>
    <w:p>
      <w:pPr>
        <w:pStyle w:val="28"/>
        <w:snapToGrid w:val="0"/>
        <w:spacing w:line="560" w:lineRule="exact"/>
        <w:ind w:firstLine="600" w:firstLineChars="200"/>
        <w:rPr>
          <w:rFonts w:ascii="Times New Roman" w:hAnsi="Times New Roman" w:eastAsia="仿宋_GB2312"/>
          <w:sz w:val="30"/>
          <w:szCs w:val="30"/>
        </w:rPr>
      </w:pPr>
      <w:bookmarkStart w:id="47" w:name="_Hlk59995545"/>
      <w:r>
        <w:rPr>
          <w:rFonts w:hint="eastAsia" w:ascii="Times New Roman" w:hAnsi="Times New Roman" w:eastAsia="仿宋_GB2312" w:cs="Times New Roman"/>
          <w:sz w:val="30"/>
          <w:szCs w:val="30"/>
        </w:rPr>
        <w:t>聚焦先进制造业发展，加快构建以协同创新为主导的县域</w:t>
      </w:r>
      <w:r>
        <w:rPr>
          <w:rFonts w:hint="eastAsia" w:ascii="Times New Roman" w:hAnsi="Times New Roman" w:eastAsia="仿宋_GB2312"/>
          <w:sz w:val="30"/>
          <w:szCs w:val="30"/>
        </w:rPr>
        <w:t>创新体系，推进创新资源和人才聚集</w:t>
      </w:r>
      <w:bookmarkEnd w:id="47"/>
      <w:r>
        <w:rPr>
          <w:rFonts w:hint="eastAsia" w:ascii="Times New Roman" w:hAnsi="Times New Roman" w:eastAsia="仿宋_GB2312"/>
          <w:sz w:val="30"/>
          <w:szCs w:val="30"/>
        </w:rPr>
        <w:t>，打造面向产业创新的空间载体，</w:t>
      </w:r>
      <w:r>
        <w:rPr>
          <w:rFonts w:hint="eastAsia" w:ascii="Times New Roman" w:hAnsi="Times New Roman" w:eastAsia="仿宋_GB2312" w:cs="Times New Roman"/>
          <w:sz w:val="30"/>
          <w:szCs w:val="30"/>
        </w:rPr>
        <w:t>形成多元化创新支撑</w:t>
      </w:r>
      <w:bookmarkStart w:id="48" w:name="_Hlk59995659"/>
      <w:r>
        <w:rPr>
          <w:rFonts w:hint="eastAsia" w:ascii="Times New Roman" w:hAnsi="Times New Roman" w:eastAsia="仿宋_GB2312" w:cs="Times New Roman"/>
          <w:sz w:val="30"/>
          <w:szCs w:val="30"/>
        </w:rPr>
        <w:t>，</w:t>
      </w:r>
      <w:r>
        <w:rPr>
          <w:rFonts w:hint="eastAsia" w:ascii="Times New Roman" w:hAnsi="Times New Roman" w:eastAsia="仿宋_GB2312"/>
          <w:sz w:val="30"/>
          <w:szCs w:val="30"/>
        </w:rPr>
        <w:t>逐步实现依靠创新驱动的内涵型增长</w:t>
      </w:r>
      <w:bookmarkEnd w:id="48"/>
      <w:r>
        <w:rPr>
          <w:rFonts w:hint="eastAsia" w:ascii="Times New Roman" w:hAnsi="Times New Roman" w:eastAsia="仿宋_GB2312"/>
          <w:sz w:val="30"/>
          <w:szCs w:val="30"/>
        </w:rPr>
        <w:t>。</w:t>
      </w:r>
    </w:p>
    <w:p>
      <w:pPr>
        <w:pStyle w:val="4"/>
        <w:keepNext w:val="0"/>
        <w:keepLines w:val="0"/>
        <w:spacing w:before="120" w:after="120" w:line="560" w:lineRule="exact"/>
        <w:ind w:firstLine="640" w:firstLineChars="200"/>
        <w:rPr>
          <w:rFonts w:ascii="Times New Roman" w:hAnsi="Times New Roman" w:eastAsia="楷体"/>
          <w:b w:val="0"/>
          <w:bCs w:val="0"/>
        </w:rPr>
      </w:pPr>
      <w:bookmarkStart w:id="49" w:name="_Toc59921184"/>
      <w:bookmarkStart w:id="50" w:name="_Toc65060514"/>
      <w:r>
        <w:rPr>
          <w:rFonts w:hint="eastAsia" w:ascii="Times New Roman" w:hAnsi="Times New Roman" w:eastAsia="楷体"/>
          <w:b w:val="0"/>
          <w:bCs w:val="0"/>
        </w:rPr>
        <w:t>（一）建设产业创新的</w:t>
      </w:r>
      <w:bookmarkEnd w:id="49"/>
      <w:r>
        <w:rPr>
          <w:rFonts w:hint="eastAsia" w:ascii="Times New Roman" w:hAnsi="Times New Roman" w:eastAsia="楷体"/>
          <w:b w:val="0"/>
          <w:bCs w:val="0"/>
        </w:rPr>
        <w:t>平台载体</w:t>
      </w:r>
      <w:bookmarkEnd w:id="50"/>
    </w:p>
    <w:p>
      <w:pPr>
        <w:pStyle w:val="28"/>
        <w:snapToGrid w:val="0"/>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规划建设科创港</w:t>
      </w:r>
      <w:r>
        <w:rPr>
          <w:rFonts w:hint="eastAsia" w:ascii="Times New Roman" w:hAnsi="Times New Roman" w:eastAsia="仿宋_GB2312"/>
          <w:sz w:val="30"/>
          <w:szCs w:val="30"/>
        </w:rPr>
        <w:t>。围绕纺织服装、装备制造、农产品精深加工等重点领域和新兴产业，坚持节约集约用地理念，在产业集聚区内启动建设夏邑科创港，布局集技术研发、工业设计、检验检测、知识产权等功能于一体的创新创业服务综合体，强化众创空间、中试基地、孵化器、产业园、科创飞地等多主体协同创新，为中小企业提供技术创新、业态创新、营销模式创新等产业公共服务。</w:t>
      </w:r>
    </w:p>
    <w:p>
      <w:pPr>
        <w:pStyle w:val="28"/>
        <w:snapToGrid w:val="0"/>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谋划建设科创“飞地”。</w:t>
      </w:r>
      <w:r>
        <w:rPr>
          <w:rFonts w:hint="eastAsia" w:ascii="Times New Roman" w:hAnsi="Times New Roman" w:eastAsia="仿宋_GB2312"/>
          <w:sz w:val="30"/>
          <w:szCs w:val="30"/>
        </w:rPr>
        <w:t>推动与上海、深圳、杭州、合肥等国内创新强市的资源对接，在国内主要城市谋划建设</w:t>
      </w:r>
      <w:r>
        <w:rPr>
          <w:rFonts w:ascii="Times New Roman" w:hAnsi="Times New Roman" w:eastAsia="仿宋_GB2312"/>
          <w:sz w:val="30"/>
          <w:szCs w:val="30"/>
        </w:rPr>
        <w:t>3-5</w:t>
      </w:r>
      <w:r>
        <w:rPr>
          <w:rFonts w:hint="eastAsia" w:ascii="Times New Roman" w:hAnsi="Times New Roman" w:eastAsia="仿宋_GB2312"/>
          <w:sz w:val="30"/>
          <w:szCs w:val="30"/>
        </w:rPr>
        <w:t>个科创“飞地”，全面提升协同融合发展水平，为实现产业规模化发展提供科技创新转化服务，形成“研发创新在全国，转化落地在夏邑”的科技创新格局。</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融入区域协同创新网络。</w:t>
      </w:r>
      <w:r>
        <w:rPr>
          <w:rFonts w:hint="eastAsia" w:ascii="Times New Roman" w:hAnsi="Times New Roman" w:eastAsia="仿宋_GB2312"/>
          <w:sz w:val="30"/>
          <w:szCs w:val="30"/>
        </w:rPr>
        <w:t>加强规划衔接、主动对接，加快融入河南省和商丘市区域创新网络。拓展高校、科研院所及社会创新机构等多渠道创新资源，打通政产学研多向转化通道，通过全方位对接人才流、科技流、信息流、资金流，重组生产要素，实现优势互补。</w:t>
      </w:r>
    </w:p>
    <w:p>
      <w:pPr>
        <w:spacing w:line="560" w:lineRule="exact"/>
        <w:ind w:firstLine="600" w:firstLineChars="200"/>
        <w:rPr>
          <w:rFonts w:ascii="Times New Roman" w:hAnsi="Times New Roman" w:eastAsia="仿宋_GB2312"/>
          <w:sz w:val="30"/>
          <w:szCs w:val="30"/>
        </w:rPr>
      </w:pPr>
    </w:p>
    <w:p>
      <w:pPr>
        <w:spacing w:before="120" w:after="120" w:line="560" w:lineRule="exact"/>
        <w:ind w:firstLine="640" w:firstLineChars="200"/>
        <w:outlineLvl w:val="1"/>
        <w:rPr>
          <w:rFonts w:ascii="Times New Roman" w:hAnsi="Times New Roman" w:eastAsia="楷体" w:cstheme="majorBidi"/>
          <w:sz w:val="32"/>
          <w:szCs w:val="32"/>
        </w:rPr>
      </w:pPr>
      <w:bookmarkStart w:id="51" w:name="_Toc65060515"/>
      <w:r>
        <w:rPr>
          <w:rFonts w:hint="eastAsia" w:ascii="Times New Roman" w:hAnsi="Times New Roman" w:eastAsia="楷体" w:cstheme="majorBidi"/>
          <w:sz w:val="32"/>
          <w:szCs w:val="32"/>
        </w:rPr>
        <w:t>（二）推进创新主体能力提升</w:t>
      </w:r>
      <w:bookmarkEnd w:id="51"/>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支持企业做大规模。</w:t>
      </w:r>
      <w:r>
        <w:rPr>
          <w:rFonts w:hint="eastAsia" w:ascii="Times New Roman" w:hAnsi="Times New Roman" w:eastAsia="仿宋_GB2312"/>
          <w:sz w:val="30"/>
          <w:szCs w:val="30"/>
        </w:rPr>
        <w:t>启动实施“鲲鹏计划”，建立重点龙头企业培育库，引育一批资源配置能力强、国际市场占有率高、具有核心竞争力的项目和企业。健全中小微企业梯度培育机制，引导企业走“专精特新”发展之路，培育细分行业的隐形冠军。引导企业充分利用多层次资本市场。“十四五”期间，新增1</w:t>
      </w:r>
      <w:r>
        <w:rPr>
          <w:rFonts w:ascii="Times New Roman" w:hAnsi="Times New Roman" w:eastAsia="仿宋_GB2312"/>
          <w:sz w:val="30"/>
          <w:szCs w:val="30"/>
        </w:rPr>
        <w:t>0</w:t>
      </w:r>
      <w:r>
        <w:rPr>
          <w:rFonts w:hint="eastAsia" w:ascii="Times New Roman" w:hAnsi="Times New Roman" w:eastAsia="仿宋_GB2312"/>
          <w:sz w:val="30"/>
          <w:szCs w:val="30"/>
        </w:rPr>
        <w:t>亿元级以上企业1</w:t>
      </w:r>
      <w:r>
        <w:rPr>
          <w:rFonts w:ascii="Times New Roman" w:hAnsi="Times New Roman" w:eastAsia="仿宋_GB2312"/>
          <w:sz w:val="30"/>
          <w:szCs w:val="30"/>
        </w:rPr>
        <w:t>0</w:t>
      </w:r>
      <w:r>
        <w:rPr>
          <w:rFonts w:hint="eastAsia" w:ascii="Times New Roman" w:hAnsi="Times New Roman" w:eastAsia="仿宋_GB2312"/>
          <w:sz w:val="30"/>
          <w:szCs w:val="30"/>
        </w:rPr>
        <w:t>家以上，新增亿元级企业</w:t>
      </w:r>
      <w:r>
        <w:rPr>
          <w:rFonts w:ascii="Times New Roman" w:hAnsi="Times New Roman" w:eastAsia="仿宋_GB2312"/>
          <w:sz w:val="30"/>
          <w:szCs w:val="30"/>
        </w:rPr>
        <w:t>30</w:t>
      </w:r>
      <w:r>
        <w:rPr>
          <w:rFonts w:hint="eastAsia" w:ascii="Times New Roman" w:hAnsi="Times New Roman" w:eastAsia="仿宋_GB2312"/>
          <w:sz w:val="30"/>
          <w:szCs w:val="30"/>
        </w:rPr>
        <w:t>家以上，实现上市企业“零”突破。</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助推企业科技创新。</w:t>
      </w:r>
      <w:r>
        <w:rPr>
          <w:rFonts w:hint="eastAsia" w:ascii="Times New Roman" w:hAnsi="Times New Roman" w:eastAsia="仿宋_GB2312"/>
          <w:sz w:val="30"/>
          <w:szCs w:val="30"/>
        </w:rPr>
        <w:t>以纺织服装、装备制造、农产品精深加工等重点领域和新兴产业领域为重点，整合优化科研资源，创建一批省级劳模和国家级劳模科技创新工作室，支持铸造企业国家级技术中心、打火机制造企业省级技术中心等一批企业技术中心创建。支持企业积极申请高新技术企业，培育壮大中小型科技企业群体。到2</w:t>
      </w:r>
      <w:r>
        <w:rPr>
          <w:rFonts w:ascii="Times New Roman" w:hAnsi="Times New Roman" w:eastAsia="仿宋_GB2312"/>
          <w:sz w:val="30"/>
          <w:szCs w:val="30"/>
        </w:rPr>
        <w:t>025</w:t>
      </w:r>
      <w:r>
        <w:rPr>
          <w:rFonts w:hint="eastAsia" w:ascii="Times New Roman" w:hAnsi="Times New Roman" w:eastAsia="仿宋_GB2312"/>
          <w:sz w:val="30"/>
          <w:szCs w:val="30"/>
        </w:rPr>
        <w:t>年，省级及以上企业工程技术研究中心</w:t>
      </w:r>
      <w:r>
        <w:rPr>
          <w:rFonts w:ascii="Times New Roman" w:hAnsi="Times New Roman" w:eastAsia="仿宋_GB2312"/>
          <w:sz w:val="30"/>
          <w:szCs w:val="30"/>
        </w:rPr>
        <w:t>30</w:t>
      </w:r>
      <w:r>
        <w:rPr>
          <w:rFonts w:hint="eastAsia" w:ascii="Times New Roman" w:hAnsi="Times New Roman" w:eastAsia="仿宋_GB2312"/>
          <w:sz w:val="30"/>
          <w:szCs w:val="30"/>
        </w:rPr>
        <w:t>家以上，高新技术企业达到5</w:t>
      </w:r>
      <w:r>
        <w:rPr>
          <w:rFonts w:ascii="Times New Roman" w:hAnsi="Times New Roman" w:eastAsia="仿宋_GB2312"/>
          <w:sz w:val="30"/>
          <w:szCs w:val="30"/>
        </w:rPr>
        <w:t>0</w:t>
      </w:r>
      <w:r>
        <w:rPr>
          <w:rFonts w:hint="eastAsia" w:ascii="Times New Roman" w:hAnsi="Times New Roman" w:eastAsia="仿宋_GB2312"/>
          <w:sz w:val="30"/>
          <w:szCs w:val="30"/>
        </w:rPr>
        <w:t>家以上，科技型中小企业实现翻番。</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推动企业技术改造。</w:t>
      </w:r>
      <w:r>
        <w:rPr>
          <w:rFonts w:hint="eastAsia" w:ascii="Times New Roman" w:hAnsi="Times New Roman" w:eastAsia="仿宋_GB2312"/>
          <w:sz w:val="30"/>
          <w:szCs w:val="30"/>
        </w:rPr>
        <w:t>深入开展智能制造业应用项目试点示范，支持企业以数字化、网络化、智能化改造为导向实施重大技术改造，鼓励和支持企业购置工业机器人，推动智能工厂、数字车间建设。到2</w:t>
      </w:r>
      <w:r>
        <w:rPr>
          <w:rFonts w:ascii="Times New Roman" w:hAnsi="Times New Roman" w:eastAsia="仿宋_GB2312"/>
          <w:sz w:val="30"/>
          <w:szCs w:val="30"/>
        </w:rPr>
        <w:t>025</w:t>
      </w:r>
      <w:r>
        <w:rPr>
          <w:rFonts w:hint="eastAsia" w:ascii="Times New Roman" w:hAnsi="Times New Roman" w:eastAsia="仿宋_GB2312"/>
          <w:sz w:val="30"/>
          <w:szCs w:val="30"/>
        </w:rPr>
        <w:t>年，重点龙头企业智能化改造率达到</w:t>
      </w:r>
      <w:r>
        <w:rPr>
          <w:rFonts w:ascii="Times New Roman" w:hAnsi="Times New Roman" w:eastAsia="仿宋_GB2312"/>
          <w:sz w:val="30"/>
          <w:szCs w:val="30"/>
        </w:rPr>
        <w:t>80</w:t>
      </w:r>
      <w:r>
        <w:rPr>
          <w:rFonts w:hint="eastAsia" w:ascii="Times New Roman" w:hAnsi="Times New Roman" w:eastAsia="仿宋_GB2312"/>
          <w:sz w:val="30"/>
          <w:szCs w:val="30"/>
        </w:rPr>
        <w:t>%以上。</w:t>
      </w:r>
    </w:p>
    <w:p>
      <w:pPr>
        <w:pStyle w:val="4"/>
        <w:keepNext w:val="0"/>
        <w:keepLines w:val="0"/>
        <w:spacing w:before="120" w:after="120" w:line="560" w:lineRule="exact"/>
        <w:ind w:firstLine="640" w:firstLineChars="200"/>
        <w:rPr>
          <w:rFonts w:ascii="Times New Roman" w:hAnsi="Times New Roman" w:eastAsia="楷体"/>
          <w:b w:val="0"/>
          <w:bCs w:val="0"/>
        </w:rPr>
      </w:pPr>
      <w:bookmarkStart w:id="52" w:name="_Toc59921185"/>
      <w:bookmarkStart w:id="53" w:name="_Toc65060516"/>
      <w:r>
        <w:rPr>
          <w:rFonts w:hint="eastAsia" w:ascii="Times New Roman" w:hAnsi="Times New Roman" w:eastAsia="楷体"/>
          <w:b w:val="0"/>
          <w:bCs w:val="0"/>
        </w:rPr>
        <w:t>（三）多渠道推动人才集聚</w:t>
      </w:r>
      <w:bookmarkEnd w:id="52"/>
      <w:bookmarkEnd w:id="53"/>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加大力度引育创新人才。</w:t>
      </w:r>
      <w:r>
        <w:rPr>
          <w:rFonts w:hint="eastAsia" w:ascii="Times New Roman" w:hAnsi="Times New Roman" w:eastAsia="仿宋_GB2312"/>
          <w:sz w:val="30"/>
          <w:szCs w:val="30"/>
        </w:rPr>
        <w:t>围绕产业链、创新链布局人才链，以打造夏邑高端智库理念，精准引聚产业紧缺、创新力强的高端领军人才和团队，构建“高精尖缺”人才开发需求库。建设覆盖京津冀、长三角、粤港澳等区域中心城市的科创人才“飞地”，构建海内外引才新格局。</w:t>
      </w:r>
    </w:p>
    <w:p>
      <w:pPr>
        <w:spacing w:line="560" w:lineRule="exact"/>
        <w:ind w:firstLine="602" w:firstLineChars="200"/>
        <w:rPr>
          <w:rFonts w:ascii="Times New Roman" w:hAnsi="Times New Roman" w:eastAsia="仿宋_GB2312"/>
          <w:bCs/>
          <w:sz w:val="30"/>
          <w:szCs w:val="30"/>
        </w:rPr>
      </w:pPr>
      <w:r>
        <w:rPr>
          <w:rFonts w:hint="eastAsia" w:ascii="Times New Roman" w:hAnsi="Times New Roman" w:eastAsia="仿宋_GB2312"/>
          <w:b/>
          <w:sz w:val="30"/>
          <w:szCs w:val="30"/>
        </w:rPr>
        <w:t>积极引育专业技能人才。</w:t>
      </w:r>
      <w:r>
        <w:rPr>
          <w:rFonts w:hint="eastAsia" w:ascii="Times New Roman" w:hAnsi="Times New Roman" w:eastAsia="仿宋_GB2312"/>
          <w:bCs/>
          <w:sz w:val="30"/>
          <w:szCs w:val="30"/>
        </w:rPr>
        <w:t>大力实施职业技能提升行动，依托夏邑县公共实训基地等载体，引进培养设计、智造等各类专业技能人才，加大对网络直播等新业态的人才的培养扶持力度。大力弘扬工匠精神，面向企业全面推行职业技能等级认定制度，鼓励并引导企业开展新型学徒制，培育新时代夏邑工匠。</w:t>
      </w:r>
    </w:p>
    <w:p>
      <w:pPr>
        <w:pStyle w:val="28"/>
        <w:snapToGrid w:val="0"/>
        <w:spacing w:line="560" w:lineRule="exact"/>
        <w:ind w:firstLine="602" w:firstLineChars="200"/>
        <w:rPr>
          <w:rFonts w:ascii="Times New Roman" w:hAnsi="Times New Roman" w:eastAsia="仿宋_GB2312" w:cs="Times New Roman"/>
          <w:sz w:val="30"/>
          <w:szCs w:val="30"/>
        </w:rPr>
      </w:pPr>
      <w:r>
        <w:rPr>
          <w:rFonts w:hint="eastAsia" w:ascii="Times New Roman" w:hAnsi="Times New Roman" w:eastAsia="仿宋_GB2312"/>
          <w:b/>
          <w:sz w:val="30"/>
          <w:szCs w:val="30"/>
        </w:rPr>
        <w:t>加强培育本土人才。</w:t>
      </w:r>
      <w:r>
        <w:rPr>
          <w:rFonts w:hint="eastAsia" w:ascii="Times New Roman" w:hAnsi="Times New Roman" w:eastAsia="仿宋_GB2312" w:cs="Times New Roman"/>
          <w:sz w:val="30"/>
          <w:szCs w:val="30"/>
        </w:rPr>
        <w:t>完善创新型企业精英培养体系，着力培养一批具有全球视野的高水平现代企业家、现代企业管理团队和技术团队。开展新生代企业家培养和职业经理人引育行动，实施企业家综合素质提升工程。</w:t>
      </w:r>
    </w:p>
    <w:p>
      <w:pPr>
        <w:pStyle w:val="28"/>
        <w:snapToGrid w:val="0"/>
        <w:spacing w:line="560" w:lineRule="exact"/>
        <w:ind w:firstLine="602" w:firstLineChars="200"/>
        <w:rPr>
          <w:rFonts w:ascii="Times New Roman" w:hAnsi="Times New Roman" w:eastAsia="仿宋_GB2312"/>
          <w:bCs/>
          <w:sz w:val="30"/>
          <w:szCs w:val="30"/>
        </w:rPr>
      </w:pPr>
      <w:r>
        <w:rPr>
          <w:rFonts w:hint="eastAsia" w:ascii="Times New Roman" w:hAnsi="Times New Roman" w:eastAsia="仿宋_GB2312"/>
          <w:b/>
          <w:sz w:val="30"/>
          <w:szCs w:val="30"/>
        </w:rPr>
        <w:t>建设新时代智库。</w:t>
      </w:r>
      <w:r>
        <w:rPr>
          <w:rFonts w:hint="eastAsia" w:ascii="Times New Roman" w:hAnsi="Times New Roman" w:eastAsia="仿宋_GB2312"/>
          <w:bCs/>
          <w:sz w:val="30"/>
          <w:szCs w:val="30"/>
        </w:rPr>
        <w:t>以区域经济、城市发展、乡村振兴、社会治理等为重点，推进与国内外知名院校、知名学者、知名机构合作办学，共建夏邑发展研究智库，为夏邑经济社会发展和培养符合新时代要求的市民提供智力支持。</w:t>
      </w:r>
    </w:p>
    <w:tbl>
      <w:tblPr>
        <w:tblStyle w:val="15"/>
        <w:tblW w:w="0" w:type="auto"/>
        <w:tblInd w:w="0" w:type="dxa"/>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c>
          <w:tcPr>
            <w:tcW w:w="8522" w:type="dxa"/>
          </w:tcPr>
          <w:p>
            <w:pPr>
              <w:snapToGrid w:val="0"/>
              <w:jc w:val="center"/>
              <w:rPr>
                <w:rFonts w:ascii="Times New Roman" w:hAnsi="Times New Roman" w:eastAsia="楷体" w:cs="Times New Roman"/>
                <w:sz w:val="28"/>
                <w:szCs w:val="32"/>
              </w:rPr>
            </w:pPr>
            <w:r>
              <w:rPr>
                <w:rFonts w:hint="eastAsia" w:ascii="Times New Roman" w:hAnsi="Times New Roman" w:eastAsia="楷体" w:cs="Times New Roman"/>
                <w:sz w:val="28"/>
                <w:szCs w:val="32"/>
              </w:rPr>
              <w:t>专栏五</w:t>
            </w:r>
            <w:r>
              <w:rPr>
                <w:rFonts w:ascii="Times New Roman" w:hAnsi="Times New Roman" w:eastAsia="楷体" w:cs="Times New Roman"/>
                <w:sz w:val="28"/>
                <w:szCs w:val="32"/>
              </w:rPr>
              <w:t xml:space="preserve">  </w:t>
            </w:r>
            <w:bookmarkStart w:id="54" w:name="_Hlk59993773"/>
            <w:r>
              <w:rPr>
                <w:rFonts w:hint="eastAsia" w:ascii="Times New Roman" w:hAnsi="Times New Roman" w:eastAsia="楷体" w:cs="Times New Roman"/>
                <w:sz w:val="28"/>
                <w:szCs w:val="32"/>
              </w:rPr>
              <w:t>创新创业人才引育工程</w:t>
            </w:r>
            <w:bookmarkEnd w:id="54"/>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PrEx>
        <w:tc>
          <w:tcPr>
            <w:tcW w:w="8522" w:type="dxa"/>
          </w:tcPr>
          <w:p>
            <w:pPr>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sz w:val="24"/>
                <w:szCs w:val="24"/>
              </w:rPr>
              <w:t>实施县外人才引进倍增行动。</w:t>
            </w:r>
            <w:r>
              <w:rPr>
                <w:rFonts w:hint="eastAsia" w:ascii="Times New Roman" w:hAnsi="Times New Roman" w:eastAsia="仿宋_GB2312" w:cs="Times New Roman"/>
                <w:bCs/>
                <w:sz w:val="24"/>
                <w:szCs w:val="24"/>
              </w:rPr>
              <w:t>聚焦纺织服装、装备制造、农副产品精深加工、数字经济、静脉产业、智能现代住建等主导产业，强化产业人才引进；聚焦人工智能、区块链、量子技术、增材制造等具有重大引领带动作用的未来产业，积极构建全球人才地图，通过柔性引进、科创“飞地”等模式，吸引“领军人才”支持未来产业发展。“十四五”期间，累计引进人才</w:t>
            </w:r>
            <w:r>
              <w:rPr>
                <w:rFonts w:ascii="Times New Roman" w:hAnsi="Times New Roman" w:eastAsia="仿宋_GB2312" w:cs="Times New Roman"/>
                <w:bCs/>
                <w:sz w:val="24"/>
                <w:szCs w:val="24"/>
              </w:rPr>
              <w:t>1000</w:t>
            </w:r>
            <w:r>
              <w:rPr>
                <w:rFonts w:hint="eastAsia" w:ascii="Times New Roman" w:hAnsi="Times New Roman" w:eastAsia="仿宋_GB2312" w:cs="Times New Roman"/>
                <w:bCs/>
                <w:sz w:val="24"/>
                <w:szCs w:val="24"/>
              </w:rPr>
              <w:t>人以上。</w:t>
            </w:r>
          </w:p>
          <w:p>
            <w:pPr>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sz w:val="24"/>
                <w:szCs w:val="24"/>
              </w:rPr>
              <w:t>实施本籍人才“归巢”行动。</w:t>
            </w:r>
            <w:r>
              <w:rPr>
                <w:rFonts w:hint="eastAsia" w:ascii="Times New Roman" w:hAnsi="Times New Roman" w:eastAsia="仿宋_GB2312" w:cs="Times New Roman"/>
                <w:bCs/>
                <w:sz w:val="24"/>
                <w:szCs w:val="24"/>
              </w:rPr>
              <w:t>制定专项鼓励政策，支持夏邑籍企业家、专家学者、技术能手、高水平教师、大学毕业生、农村实用人才等回乡投资兴业、招商引资、就业创业、传经讲学、技术帮扶等。“十四五”期间，累计吸引返乡人才</w:t>
            </w:r>
            <w:r>
              <w:rPr>
                <w:rFonts w:ascii="Times New Roman" w:hAnsi="Times New Roman" w:eastAsia="仿宋_GB2312" w:cs="Times New Roman"/>
                <w:bCs/>
                <w:sz w:val="24"/>
                <w:szCs w:val="24"/>
              </w:rPr>
              <w:t>1</w:t>
            </w:r>
            <w:r>
              <w:rPr>
                <w:rFonts w:hint="eastAsia" w:ascii="Times New Roman" w:hAnsi="Times New Roman" w:eastAsia="仿宋_GB2312" w:cs="Times New Roman"/>
                <w:bCs/>
                <w:sz w:val="24"/>
                <w:szCs w:val="24"/>
              </w:rPr>
              <w:t>万人左右。</w:t>
            </w:r>
          </w:p>
        </w:tc>
      </w:tr>
    </w:tbl>
    <w:p>
      <w:pPr>
        <w:pStyle w:val="4"/>
        <w:keepNext w:val="0"/>
        <w:keepLines w:val="0"/>
        <w:spacing w:before="120" w:after="120" w:line="560" w:lineRule="exact"/>
        <w:ind w:firstLine="640" w:firstLineChars="200"/>
        <w:rPr>
          <w:rFonts w:ascii="Times New Roman" w:hAnsi="Times New Roman" w:eastAsia="楷体"/>
          <w:b w:val="0"/>
          <w:bCs w:val="0"/>
        </w:rPr>
      </w:pPr>
      <w:bookmarkStart w:id="55" w:name="_Toc59921186"/>
      <w:bookmarkStart w:id="56" w:name="_Toc65060517"/>
      <w:r>
        <w:rPr>
          <w:rFonts w:hint="eastAsia" w:ascii="Times New Roman" w:hAnsi="Times New Roman" w:eastAsia="楷体"/>
          <w:b w:val="0"/>
          <w:bCs w:val="0"/>
        </w:rPr>
        <w:t>（四）营造充满活力的创业创新生态</w:t>
      </w:r>
      <w:bookmarkEnd w:id="55"/>
      <w:bookmarkEnd w:id="56"/>
    </w:p>
    <w:p>
      <w:pPr>
        <w:pStyle w:val="28"/>
        <w:snapToGrid w:val="0"/>
        <w:spacing w:line="560" w:lineRule="exact"/>
        <w:ind w:firstLine="602" w:firstLineChars="200"/>
        <w:rPr>
          <w:rFonts w:ascii="Times New Roman" w:hAnsi="Times New Roman" w:eastAsia="仿宋_GB2312" w:cs="Times New Roman"/>
          <w:b/>
          <w:sz w:val="30"/>
          <w:szCs w:val="30"/>
        </w:rPr>
      </w:pPr>
      <w:r>
        <w:rPr>
          <w:rFonts w:hint="eastAsia" w:ascii="Times New Roman" w:hAnsi="Times New Roman" w:eastAsia="仿宋_GB2312" w:cs="Times New Roman"/>
          <w:b/>
          <w:bCs/>
          <w:sz w:val="30"/>
          <w:szCs w:val="30"/>
        </w:rPr>
        <w:t>加大力度服务青年创业就业。</w:t>
      </w:r>
      <w:r>
        <w:rPr>
          <w:rFonts w:hint="eastAsia" w:ascii="Times New Roman" w:hAnsi="Times New Roman" w:eastAsia="仿宋_GB2312" w:cs="Times New Roman"/>
          <w:sz w:val="30"/>
          <w:szCs w:val="30"/>
        </w:rPr>
        <w:t>关注引导青年创业就业，通过促进优秀青年返乡创业，招才引智，关心关注新型青年群体成长，服务大学生就业等项目，积极关注青年在县域经济发展中的参与感和获得感。</w:t>
      </w:r>
    </w:p>
    <w:p>
      <w:pPr>
        <w:snapToGrid w:val="0"/>
        <w:spacing w:line="560" w:lineRule="exac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深入完善产学研用合作机制。</w:t>
      </w:r>
      <w:r>
        <w:rPr>
          <w:rFonts w:hint="eastAsia" w:ascii="Times New Roman" w:hAnsi="Times New Roman" w:eastAsia="仿宋_GB2312" w:cs="Times New Roman"/>
          <w:sz w:val="30"/>
          <w:szCs w:val="30"/>
        </w:rPr>
        <w:t>鼓励引导企业联合高校、科研机构组建技术研发平台、产业技术创新联盟、技术创新中心，合作开展关键共性技术研发，构建集研究、孵化和产业化于一体的产学研用链条，加快向行业化、集成化方向发展。</w:t>
      </w:r>
    </w:p>
    <w:p>
      <w:pPr>
        <w:spacing w:line="560" w:lineRule="exact"/>
        <w:ind w:firstLine="596" w:firstLineChars="198"/>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构建机制配套齐全的开放创新服务体系。</w:t>
      </w:r>
      <w:r>
        <w:rPr>
          <w:rFonts w:hint="eastAsia" w:ascii="Times New Roman" w:hAnsi="Times New Roman" w:eastAsia="仿宋_GB2312" w:cs="Times New Roman"/>
          <w:sz w:val="30"/>
          <w:szCs w:val="30"/>
        </w:rPr>
        <w:t>创设专业化技术与企业对接服务平台，完善科技成果评价和认定服务体系建设。实施融资畅通工程，健全中小企业信用担保体系，增进与创业投资、风险投资等股权投资机构以及科技银行等间接融资机构联系。</w:t>
      </w:r>
    </w:p>
    <w:p>
      <w:pPr>
        <w:spacing w:line="560" w:lineRule="exact"/>
        <w:ind w:firstLine="594" w:firstLineChars="198"/>
        <w:rPr>
          <w:rFonts w:ascii="Times New Roman" w:hAnsi="Times New Roman" w:eastAsia="仿宋_GB2312" w:cs="Times New Roman"/>
          <w:sz w:val="30"/>
          <w:szCs w:val="30"/>
        </w:rPr>
        <w:sectPr>
          <w:pgSz w:w="11906" w:h="16838"/>
          <w:pgMar w:top="1440" w:right="1800" w:bottom="1440" w:left="1800" w:header="851" w:footer="992" w:gutter="0"/>
          <w:cols w:space="425" w:num="1"/>
          <w:docGrid w:type="lines" w:linePitch="312" w:charSpace="0"/>
        </w:sectPr>
      </w:pPr>
    </w:p>
    <w:p>
      <w:pPr>
        <w:spacing w:before="156" w:beforeLines="50" w:after="156" w:afterLines="50"/>
        <w:ind w:firstLine="640" w:firstLineChars="200"/>
        <w:outlineLvl w:val="0"/>
        <w:rPr>
          <w:rFonts w:ascii="Times New Roman" w:hAnsi="Times New Roman" w:eastAsia="黑体" w:cs="Times New Roman"/>
          <w:sz w:val="32"/>
          <w:szCs w:val="32"/>
        </w:rPr>
      </w:pPr>
      <w:bookmarkStart w:id="57" w:name="_Toc59921187"/>
      <w:bookmarkStart w:id="58" w:name="_Toc65060518"/>
      <w:r>
        <w:rPr>
          <w:rFonts w:hint="eastAsia" w:ascii="Times New Roman" w:hAnsi="Times New Roman" w:eastAsia="黑体" w:cs="Times New Roman"/>
          <w:sz w:val="32"/>
          <w:szCs w:val="32"/>
        </w:rPr>
        <w:t>五</w:t>
      </w:r>
      <w:bookmarkStart w:id="59" w:name="_Hlk59016758"/>
      <w:r>
        <w:rPr>
          <w:rFonts w:hint="eastAsia" w:ascii="Times New Roman" w:hAnsi="Times New Roman" w:eastAsia="黑体" w:cs="Times New Roman"/>
          <w:sz w:val="32"/>
          <w:szCs w:val="32"/>
        </w:rPr>
        <w:t>、</w:t>
      </w:r>
      <w:bookmarkStart w:id="60" w:name="_Hlk59991284"/>
      <w:r>
        <w:rPr>
          <w:rFonts w:hint="eastAsia" w:ascii="Times New Roman" w:hAnsi="Times New Roman" w:eastAsia="黑体" w:cs="Times New Roman"/>
          <w:sz w:val="32"/>
          <w:szCs w:val="32"/>
        </w:rPr>
        <w:t>全面畅通供需体系，融入双循环新发展格局</w:t>
      </w:r>
      <w:bookmarkEnd w:id="57"/>
      <w:bookmarkEnd w:id="58"/>
      <w:bookmarkEnd w:id="60"/>
    </w:p>
    <w:bookmarkEnd w:id="59"/>
    <w:p>
      <w:pPr>
        <w:pStyle w:val="5"/>
        <w:spacing w:line="560" w:lineRule="exact"/>
        <w:ind w:firstLine="600"/>
        <w:rPr>
          <w:rFonts w:eastAsia="仿宋_GB2312" w:cs="Times New Roman"/>
          <w:sz w:val="30"/>
          <w:szCs w:val="30"/>
        </w:rPr>
      </w:pPr>
      <w:r>
        <w:rPr>
          <w:rFonts w:hint="eastAsia" w:eastAsia="仿宋_GB2312" w:cs="Times New Roman"/>
          <w:sz w:val="30"/>
          <w:szCs w:val="30"/>
        </w:rPr>
        <w:t>坚持扩大内需的战略基点，深化供给侧结构性改革，加强需求侧管理，全面融入国内大循环，着力提升主导产业竞争力，大力推进消费扩容升级，积极发展全面开放型经济，深入拓展投融资发展空间，加快构建形成“以国内大循环为主体，国内国际双循环相互促进”新发展格局。</w:t>
      </w:r>
    </w:p>
    <w:p>
      <w:pPr>
        <w:pStyle w:val="4"/>
        <w:keepNext w:val="0"/>
        <w:keepLines w:val="0"/>
        <w:spacing w:before="120" w:after="120" w:line="560" w:lineRule="exact"/>
        <w:ind w:firstLine="640" w:firstLineChars="200"/>
        <w:rPr>
          <w:rFonts w:ascii="Times New Roman" w:hAnsi="Times New Roman" w:eastAsia="楷体"/>
          <w:b w:val="0"/>
          <w:bCs w:val="0"/>
        </w:rPr>
      </w:pPr>
      <w:bookmarkStart w:id="61" w:name="_Toc65060519"/>
      <w:bookmarkStart w:id="62" w:name="_Toc59921188"/>
      <w:r>
        <w:rPr>
          <w:rFonts w:hint="eastAsia" w:ascii="Times New Roman" w:hAnsi="Times New Roman" w:eastAsia="楷体"/>
          <w:b w:val="0"/>
          <w:bCs w:val="0"/>
        </w:rPr>
        <w:t>（一）着力提升主导产业竞争力</w:t>
      </w:r>
      <w:bookmarkEnd w:id="61"/>
      <w:bookmarkEnd w:id="62"/>
    </w:p>
    <w:p>
      <w:pPr>
        <w:pStyle w:val="5"/>
        <w:spacing w:line="560" w:lineRule="exact"/>
        <w:ind w:firstLine="602"/>
        <w:rPr>
          <w:rFonts w:eastAsia="仿宋_GB2312" w:cs="Times New Roman"/>
          <w:bCs/>
          <w:sz w:val="30"/>
          <w:szCs w:val="30"/>
        </w:rPr>
      </w:pPr>
      <w:r>
        <w:rPr>
          <w:rFonts w:hint="eastAsia" w:eastAsia="仿宋_GB2312" w:cs="Times New Roman"/>
          <w:b/>
          <w:sz w:val="30"/>
          <w:szCs w:val="30"/>
        </w:rPr>
        <w:t>发挥农业优势保障粮食安全。</w:t>
      </w:r>
      <w:r>
        <w:rPr>
          <w:rFonts w:hint="eastAsia" w:eastAsia="仿宋_GB2312" w:cs="Times New Roman"/>
          <w:bCs/>
          <w:sz w:val="30"/>
          <w:szCs w:val="30"/>
        </w:rPr>
        <w:t>充分发挥夏邑作为全国重要的粮食主产区、河南省粮食生产核心区的优势，深入推进农业供给侧结构性改革。结合永久基本农田划定工作，在国土空间规划中重新划定永久基本农田保护红线，广泛宣传《土地管理法》、《基本农田保护条例》、《关于防止耕地“非粮化”，稳定粮食生产的意见》、《关于坚决制止耕地“非农化”行为的通知》等政策，以及永久基本农田对粮食安全的重要意义，切实加强耕地保护。加快推进实施新一轮高标准农田建设规划，加快建设国家区域性小麦良种繁育基地建设。全面实施优质粮食工程，大力发展现代种业，确保粮食安全。持续扩大优质小麦种植面积，确保粮食种植面积稳定在</w:t>
      </w:r>
      <w:r>
        <w:rPr>
          <w:rFonts w:eastAsia="仿宋_GB2312" w:cs="Times New Roman"/>
          <w:bCs/>
          <w:sz w:val="30"/>
          <w:szCs w:val="30"/>
        </w:rPr>
        <w:t>237</w:t>
      </w:r>
      <w:r>
        <w:rPr>
          <w:rFonts w:hint="eastAsia" w:eastAsia="仿宋_GB2312" w:cs="Times New Roman"/>
          <w:bCs/>
          <w:sz w:val="30"/>
          <w:szCs w:val="30"/>
        </w:rPr>
        <w:t>万亩左右、粮食年产量稳定在</w:t>
      </w:r>
      <w:r>
        <w:rPr>
          <w:rFonts w:eastAsia="仿宋_GB2312" w:cs="Times New Roman"/>
          <w:bCs/>
          <w:sz w:val="30"/>
          <w:szCs w:val="30"/>
        </w:rPr>
        <w:t>21</w:t>
      </w:r>
      <w:r>
        <w:rPr>
          <w:rFonts w:hint="eastAsia" w:eastAsia="仿宋_GB2312" w:cs="Times New Roman"/>
          <w:bCs/>
          <w:sz w:val="30"/>
          <w:szCs w:val="30"/>
        </w:rPr>
        <w:t>亿斤以上。</w:t>
      </w:r>
    </w:p>
    <w:p>
      <w:pPr>
        <w:pStyle w:val="5"/>
        <w:spacing w:line="560" w:lineRule="exact"/>
        <w:ind w:firstLine="602"/>
        <w:rPr>
          <w:rFonts w:eastAsia="仿宋_GB2312" w:cs="Times New Roman"/>
          <w:sz w:val="30"/>
          <w:szCs w:val="30"/>
        </w:rPr>
      </w:pPr>
      <w:r>
        <w:rPr>
          <w:rFonts w:hint="eastAsia" w:eastAsia="仿宋_GB2312" w:cs="Times New Roman"/>
          <w:b/>
          <w:sz w:val="30"/>
          <w:szCs w:val="30"/>
        </w:rPr>
        <w:t>建立高效稳定的产业供应链。</w:t>
      </w:r>
      <w:r>
        <w:rPr>
          <w:rFonts w:hint="eastAsia" w:eastAsia="仿宋_GB2312" w:cs="Times New Roman"/>
          <w:bCs/>
          <w:sz w:val="30"/>
          <w:szCs w:val="30"/>
        </w:rPr>
        <w:t>实施产业供应链融合建设行动，支持夏邑本地企业与京津冀、长三角、粤港澳、中原城市群等区域的核心龙头企业建立产业供应链战略合作，积极融入全国产业链体系。</w:t>
      </w:r>
      <w:r>
        <w:rPr>
          <w:rFonts w:hint="eastAsia" w:eastAsia="仿宋_GB2312" w:cs="Times New Roman"/>
          <w:sz w:val="30"/>
          <w:szCs w:val="30"/>
        </w:rPr>
        <w:t>实施产业基础再造工程，</w:t>
      </w:r>
      <w:r>
        <w:rPr>
          <w:rFonts w:hint="eastAsia" w:eastAsia="仿宋_GB2312"/>
          <w:color w:val="000000"/>
          <w:sz w:val="30"/>
          <w:szCs w:val="30"/>
        </w:rPr>
        <w:t>以纺织服装、装备制造等优势产业为重点，全面提升关键基础材料、基础装备和核心零部件、基础技术和工艺等基础能力，锻造产业链供应链长板。加强与国内优势企业、科研院所合作，依托现有产业基础，提升关键产品自给率和国产化水平，补齐产业链供应链短板。</w:t>
      </w:r>
    </w:p>
    <w:p>
      <w:pPr>
        <w:pStyle w:val="5"/>
        <w:spacing w:line="560" w:lineRule="exact"/>
        <w:ind w:firstLine="602"/>
        <w:rPr>
          <w:rFonts w:eastAsia="仿宋_GB2312" w:cs="Times New Roman"/>
          <w:sz w:val="30"/>
          <w:szCs w:val="30"/>
        </w:rPr>
      </w:pPr>
      <w:r>
        <w:rPr>
          <w:rFonts w:hint="eastAsia" w:eastAsia="仿宋_GB2312" w:cs="Times New Roman"/>
          <w:b/>
          <w:sz w:val="30"/>
          <w:szCs w:val="30"/>
        </w:rPr>
        <w:t>全面提升产品和服务竞争力。</w:t>
      </w:r>
      <w:r>
        <w:rPr>
          <w:rFonts w:hint="eastAsia" w:eastAsia="仿宋_GB2312" w:cs="Times New Roman"/>
          <w:sz w:val="30"/>
          <w:szCs w:val="30"/>
        </w:rPr>
        <w:t>实施“夏邑制造”质量提升行动，围绕纺织服装、装备制造业、农产品精深加工和电商产业，塑造一批具有核心竞争力的夏邑品牌，加强夏邑“品字标”公共品牌建设，培育一批</w:t>
      </w:r>
      <w:r>
        <w:rPr>
          <w:rFonts w:eastAsia="仿宋_GB2312" w:cs="Times New Roman"/>
          <w:sz w:val="30"/>
          <w:szCs w:val="30"/>
        </w:rPr>
        <w:t>“</w:t>
      </w:r>
      <w:r>
        <w:rPr>
          <w:rFonts w:hint="eastAsia" w:eastAsia="仿宋_GB2312" w:cs="Times New Roman"/>
          <w:sz w:val="30"/>
          <w:szCs w:val="30"/>
        </w:rPr>
        <w:t>品字标</w:t>
      </w:r>
      <w:r>
        <w:rPr>
          <w:rFonts w:eastAsia="仿宋_GB2312" w:cs="Times New Roman"/>
          <w:sz w:val="30"/>
          <w:szCs w:val="30"/>
        </w:rPr>
        <w:t>”</w:t>
      </w:r>
      <w:r>
        <w:rPr>
          <w:rFonts w:hint="eastAsia" w:eastAsia="仿宋_GB2312" w:cs="Times New Roman"/>
          <w:sz w:val="30"/>
          <w:szCs w:val="30"/>
        </w:rPr>
        <w:t>品牌企业，创建河南省质量强县示范县。推进文化创意和设计服务与制造业融合发展，支持企业建立工业设计中心、创意设计园等平台，提高产品文化内涵。</w:t>
      </w:r>
    </w:p>
    <w:p>
      <w:pPr>
        <w:pStyle w:val="5"/>
        <w:spacing w:line="560" w:lineRule="exact"/>
        <w:ind w:firstLine="602"/>
        <w:rPr>
          <w:rFonts w:eastAsia="仿宋_GB2312" w:cs="Times New Roman"/>
          <w:sz w:val="30"/>
          <w:szCs w:val="30"/>
        </w:rPr>
      </w:pPr>
      <w:r>
        <w:rPr>
          <w:rFonts w:hint="eastAsia" w:eastAsia="仿宋_GB2312" w:cs="Times New Roman"/>
          <w:b/>
          <w:sz w:val="30"/>
          <w:szCs w:val="30"/>
        </w:rPr>
        <w:t>积极开拓内需市场。</w:t>
      </w:r>
      <w:r>
        <w:rPr>
          <w:rFonts w:hint="eastAsia" w:eastAsia="仿宋_GB2312"/>
          <w:sz w:val="30"/>
          <w:szCs w:val="30"/>
        </w:rPr>
        <w:t>主动融入国内大循环，立足国内超大规模内需市场，提升夏邑主导产业供给体系对国内需求的适配性</w:t>
      </w:r>
      <w:r>
        <w:rPr>
          <w:rFonts w:hint="eastAsia" w:eastAsia="仿宋_GB2312" w:cs="Times New Roman"/>
          <w:sz w:val="30"/>
          <w:szCs w:val="30"/>
        </w:rPr>
        <w:t>，逐步强化以消费升级为导向的产业链提升。拓展时尚营销、定制营销、体验营销、网红营销等新兴市场热点，鼓励互联网线上营销平台建设，发展直播带货、社区团购等新模式，逐步推进线上和线下营销融合互动，畅通国内大循环。</w:t>
      </w:r>
    </w:p>
    <w:p>
      <w:pPr>
        <w:pStyle w:val="4"/>
        <w:keepNext w:val="0"/>
        <w:keepLines w:val="0"/>
        <w:spacing w:before="120" w:after="120" w:line="560" w:lineRule="exact"/>
        <w:ind w:firstLine="640" w:firstLineChars="200"/>
        <w:rPr>
          <w:rFonts w:ascii="Times New Roman" w:hAnsi="Times New Roman" w:eastAsia="楷体"/>
          <w:b w:val="0"/>
          <w:bCs w:val="0"/>
        </w:rPr>
      </w:pPr>
      <w:bookmarkStart w:id="63" w:name="_Toc65060520"/>
      <w:bookmarkStart w:id="64" w:name="_Toc59921189"/>
      <w:r>
        <w:rPr>
          <w:rFonts w:hint="eastAsia" w:ascii="Times New Roman" w:hAnsi="Times New Roman" w:eastAsia="楷体"/>
          <w:b w:val="0"/>
          <w:bCs w:val="0"/>
        </w:rPr>
        <w:t>（二）大力推进消费扩容升级</w:t>
      </w:r>
      <w:bookmarkEnd w:id="63"/>
      <w:bookmarkEnd w:id="64"/>
    </w:p>
    <w:p>
      <w:pPr>
        <w:pStyle w:val="5"/>
        <w:spacing w:line="560" w:lineRule="exact"/>
        <w:ind w:firstLine="602"/>
        <w:rPr>
          <w:rFonts w:eastAsia="仿宋_GB2312" w:cs="Times New Roman"/>
          <w:sz w:val="30"/>
          <w:szCs w:val="30"/>
        </w:rPr>
      </w:pPr>
      <w:r>
        <w:rPr>
          <w:rFonts w:hint="eastAsia" w:eastAsia="仿宋_GB2312" w:cs="Times New Roman"/>
          <w:b/>
          <w:sz w:val="30"/>
          <w:szCs w:val="30"/>
        </w:rPr>
        <w:t>积极拓展消费市场。</w:t>
      </w:r>
      <w:r>
        <w:rPr>
          <w:rFonts w:hint="eastAsia" w:eastAsia="仿宋_GB2312" w:cs="Times New Roman"/>
          <w:sz w:val="30"/>
          <w:szCs w:val="30"/>
        </w:rPr>
        <w:t>围绕消费升级，培育消费新热点，加大旅游、医疗、教育、文化、体育等领域优质产品和服务供给。围绕“美丽乡村”建设，开拓农村市场，服务农民群众日益增长的消费需求。大力推动“工业品下乡”和“农产品进城”双向流通，加快电子商务与其他产业的不断融合，促进新型消费经济发展。</w:t>
      </w:r>
    </w:p>
    <w:p>
      <w:pPr>
        <w:pStyle w:val="5"/>
        <w:spacing w:line="560" w:lineRule="exact"/>
        <w:ind w:firstLine="602"/>
        <w:rPr>
          <w:rFonts w:eastAsia="仿宋_GB2312" w:cs="Times New Roman"/>
          <w:sz w:val="30"/>
          <w:szCs w:val="30"/>
        </w:rPr>
      </w:pPr>
      <w:r>
        <w:rPr>
          <w:rFonts w:hint="eastAsia" w:eastAsia="仿宋_GB2312" w:cs="Times New Roman"/>
          <w:b/>
          <w:sz w:val="30"/>
          <w:szCs w:val="30"/>
        </w:rPr>
        <w:t>打造特色消费商圈。</w:t>
      </w:r>
      <w:r>
        <w:rPr>
          <w:rFonts w:hint="eastAsia" w:eastAsia="仿宋_GB2312" w:cs="Times New Roman"/>
          <w:sz w:val="30"/>
          <w:szCs w:val="30"/>
        </w:rPr>
        <w:t>实施繁荣商圈提能级行动，进一步优化夏邑商圈布局，引进部署区域性大型商贸综合体和县城商业广场。鼓励走特色化、数字化发展道路，突出夏邑文化，激活“街头”经济、“小店”经济，加快规划建设“</w:t>
      </w:r>
      <w:r>
        <w:rPr>
          <w:rFonts w:eastAsia="仿宋_GB2312" w:cs="Times New Roman"/>
          <w:sz w:val="30"/>
          <w:szCs w:val="30"/>
        </w:rPr>
        <w:t>5</w:t>
      </w:r>
      <w:r>
        <w:rPr>
          <w:rFonts w:hint="eastAsia" w:eastAsia="仿宋_GB2312" w:cs="Times New Roman"/>
          <w:sz w:val="30"/>
          <w:szCs w:val="30"/>
        </w:rPr>
        <w:t>分钟便利店</w:t>
      </w:r>
      <w:r>
        <w:rPr>
          <w:rFonts w:eastAsia="仿宋_GB2312" w:cs="Times New Roman"/>
          <w:sz w:val="30"/>
          <w:szCs w:val="30"/>
        </w:rPr>
        <w:t>+10</w:t>
      </w:r>
      <w:r>
        <w:rPr>
          <w:rFonts w:hint="eastAsia" w:eastAsia="仿宋_GB2312" w:cs="Times New Roman"/>
          <w:sz w:val="30"/>
          <w:szCs w:val="30"/>
        </w:rPr>
        <w:t>分钟农贸市场</w:t>
      </w:r>
      <w:r>
        <w:rPr>
          <w:rFonts w:eastAsia="仿宋_GB2312" w:cs="Times New Roman"/>
          <w:sz w:val="30"/>
          <w:szCs w:val="30"/>
        </w:rPr>
        <w:t>+15</w:t>
      </w:r>
      <w:r>
        <w:rPr>
          <w:rFonts w:hint="eastAsia" w:eastAsia="仿宋_GB2312" w:cs="Times New Roman"/>
          <w:sz w:val="30"/>
          <w:szCs w:val="30"/>
        </w:rPr>
        <w:t>分钟超市”便民生活服务圈和社区邻里中心，满足全社会多层次消费需求。</w:t>
      </w:r>
    </w:p>
    <w:p>
      <w:pPr>
        <w:pStyle w:val="5"/>
        <w:spacing w:line="560" w:lineRule="exact"/>
        <w:ind w:firstLine="602"/>
        <w:rPr>
          <w:rFonts w:eastAsia="仿宋_GB2312" w:cs="Times New Roman"/>
          <w:sz w:val="30"/>
          <w:szCs w:val="30"/>
        </w:rPr>
      </w:pPr>
      <w:r>
        <w:rPr>
          <w:rFonts w:hint="eastAsia" w:eastAsia="仿宋_GB2312" w:cs="Times New Roman"/>
          <w:b/>
          <w:sz w:val="30"/>
          <w:szCs w:val="30"/>
        </w:rPr>
        <w:t>大力培育发展夜间经济。</w:t>
      </w:r>
      <w:r>
        <w:rPr>
          <w:rFonts w:hint="eastAsia" w:eastAsia="仿宋_GB2312" w:cs="Times New Roman"/>
          <w:sz w:val="30"/>
          <w:szCs w:val="30"/>
        </w:rPr>
        <w:t>加强夜间经济整体规划布局，打造地标性夜生活集聚区，创新夜间经济业态模式，丰富夜间经济消费场景，争取形成消费新蓝海。鼓励商场、购物中心、商业街延长营业时间，开展“夜宴”“不打烊”等晚间促销活动，营造全天候、全时段、全领域消费氛围。优化夜间消费环境，提升城市相应的安保等配套保障水平，加快点亮夜间经济地图。</w:t>
      </w:r>
    </w:p>
    <w:p>
      <w:pPr>
        <w:pStyle w:val="5"/>
        <w:spacing w:line="560" w:lineRule="exact"/>
        <w:ind w:firstLine="602"/>
        <w:rPr>
          <w:rFonts w:eastAsia="仿宋_GB2312" w:cs="Times New Roman"/>
          <w:sz w:val="30"/>
          <w:szCs w:val="30"/>
        </w:rPr>
      </w:pPr>
      <w:r>
        <w:rPr>
          <w:rFonts w:hint="eastAsia" w:eastAsia="仿宋_GB2312" w:cs="Times New Roman"/>
          <w:b/>
          <w:bCs/>
          <w:sz w:val="30"/>
          <w:szCs w:val="30"/>
        </w:rPr>
        <w:t>完善商务预警预测制度。</w:t>
      </w:r>
      <w:r>
        <w:rPr>
          <w:rFonts w:hint="eastAsia" w:eastAsia="仿宋_GB2312" w:cs="Times New Roman"/>
          <w:sz w:val="30"/>
          <w:szCs w:val="30"/>
        </w:rPr>
        <w:t>稳定市场预期，健全应急快供反应体制。规范商务执法，建立完善的执法程序，有序推进二手车市场、报废机动车回收拆解行业规范发展。依法打击成品油领域的违法犯罪，协调打击扰乱市场经营的行为。做好农贸市场规划建设工作，完善服务职能，强保供能力。</w:t>
      </w:r>
    </w:p>
    <w:p>
      <w:pPr>
        <w:pStyle w:val="4"/>
        <w:keepNext w:val="0"/>
        <w:keepLines w:val="0"/>
        <w:spacing w:before="120" w:after="120" w:line="560" w:lineRule="exact"/>
        <w:ind w:firstLine="640" w:firstLineChars="200"/>
        <w:rPr>
          <w:rFonts w:ascii="Times New Roman" w:hAnsi="Times New Roman" w:eastAsia="楷体"/>
          <w:b w:val="0"/>
          <w:bCs w:val="0"/>
        </w:rPr>
      </w:pPr>
      <w:bookmarkStart w:id="65" w:name="_Toc65060521"/>
      <w:r>
        <w:rPr>
          <w:rFonts w:hint="eastAsia" w:ascii="Times New Roman" w:hAnsi="Times New Roman" w:eastAsia="楷体"/>
          <w:b w:val="0"/>
          <w:bCs w:val="0"/>
        </w:rPr>
        <w:t>（三）</w:t>
      </w:r>
      <w:bookmarkStart w:id="66" w:name="_Hlk59992033"/>
      <w:r>
        <w:rPr>
          <w:rFonts w:hint="eastAsia" w:ascii="Times New Roman" w:hAnsi="Times New Roman" w:eastAsia="楷体"/>
          <w:b w:val="0"/>
          <w:bCs w:val="0"/>
        </w:rPr>
        <w:t>积极发展全面开放型经济</w:t>
      </w:r>
      <w:bookmarkEnd w:id="65"/>
      <w:bookmarkEnd w:id="66"/>
    </w:p>
    <w:p>
      <w:pPr>
        <w:shd w:val="clear" w:color="auto" w:fill="FFFFFF"/>
        <w:spacing w:line="560" w:lineRule="exact"/>
        <w:ind w:firstLine="54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深度融入“一带一路”。</w:t>
      </w:r>
      <w:r>
        <w:rPr>
          <w:rFonts w:hint="eastAsia" w:ascii="Times New Roman" w:hAnsi="Times New Roman" w:eastAsia="仿宋_GB2312" w:cs="Times New Roman"/>
          <w:sz w:val="30"/>
          <w:szCs w:val="30"/>
        </w:rPr>
        <w:t>引导和支持纺织服装领域的企业继续巩固和深耕东南亚、非洲出口市场，开发传统市场中新的细分市场和中高端市场。对“一带一路”沿线重点国家、“金砖国家”、中东欧国家市场主动进行布局。引导企业利用中国东盟自贸区零税率政策，构建海外营销网络，深度开拓海上丝绸之路市场。</w:t>
      </w:r>
    </w:p>
    <w:p>
      <w:pPr>
        <w:shd w:val="clear" w:color="auto" w:fill="FFFFFF"/>
        <w:spacing w:line="560" w:lineRule="exact"/>
        <w:ind w:firstLine="54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扩大利用外资规模。</w:t>
      </w:r>
      <w:r>
        <w:rPr>
          <w:rFonts w:hint="eastAsia" w:ascii="Times New Roman" w:hAnsi="Times New Roman" w:eastAsia="仿宋_GB2312" w:cs="Times New Roman"/>
          <w:sz w:val="30"/>
          <w:szCs w:val="30"/>
        </w:rPr>
        <w:t>以全球产业技术精准合作为重点，着重招引省外、沿海及欧美、日韩高质量外资和港澳台资。实行高水平贸易和投资自由化便利化政策。大幅度放宽市场准入，引导外资更多投向先进制造业、高科技新兴产业、现代服务业，扩大利用外资规模，优化利用外资结构，提高利用外资质量和水平。</w:t>
      </w:r>
    </w:p>
    <w:p>
      <w:pPr>
        <w:spacing w:line="560" w:lineRule="exac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加快“走出去”步伐。</w:t>
      </w:r>
      <w:r>
        <w:rPr>
          <w:rFonts w:hint="eastAsia" w:ascii="Times New Roman" w:hAnsi="Times New Roman" w:eastAsia="仿宋_GB2312" w:cs="Times New Roman"/>
          <w:sz w:val="30"/>
          <w:szCs w:val="30"/>
        </w:rPr>
        <w:t>鼓励企业通过并购国际品牌、技术、市场网络渠道等方式向全球产业链、创新链上下游进军，推动产品、设备、技术、标准和服务一体化走出去。鼓励企业以“一带一路”国家主要节点城市为主，布局建设一批境外经贸合作区、海外仓、海外营销网络、海外国际营销公共服务平台，打造根植夏邑、面向全球的产业链格局。</w:t>
      </w:r>
    </w:p>
    <w:p>
      <w:pPr>
        <w:spacing w:before="120" w:after="120" w:line="560" w:lineRule="exact"/>
        <w:ind w:firstLine="640" w:firstLineChars="200"/>
        <w:outlineLvl w:val="1"/>
        <w:rPr>
          <w:rFonts w:ascii="Times New Roman" w:hAnsi="Times New Roman" w:eastAsia="楷体" w:cstheme="majorBidi"/>
          <w:sz w:val="32"/>
          <w:szCs w:val="32"/>
        </w:rPr>
      </w:pPr>
      <w:bookmarkStart w:id="67" w:name="_Toc59921190"/>
      <w:bookmarkStart w:id="68" w:name="_Toc65060522"/>
      <w:r>
        <w:rPr>
          <w:rFonts w:hint="eastAsia" w:ascii="Times New Roman" w:hAnsi="Times New Roman" w:eastAsia="楷体" w:cstheme="majorBidi"/>
          <w:sz w:val="32"/>
          <w:szCs w:val="32"/>
        </w:rPr>
        <w:t>（四）</w:t>
      </w:r>
      <w:bookmarkStart w:id="69" w:name="_Hlk59992020"/>
      <w:r>
        <w:rPr>
          <w:rFonts w:hint="eastAsia" w:ascii="Times New Roman" w:hAnsi="Times New Roman" w:eastAsia="楷体" w:cstheme="majorBidi"/>
          <w:sz w:val="32"/>
          <w:szCs w:val="32"/>
        </w:rPr>
        <w:t>深入拓展投融资发展空间</w:t>
      </w:r>
      <w:bookmarkEnd w:id="67"/>
      <w:bookmarkEnd w:id="68"/>
    </w:p>
    <w:bookmarkEnd w:id="69"/>
    <w:p>
      <w:pPr>
        <w:spacing w:line="560" w:lineRule="exac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扩大有效投资</w:t>
      </w:r>
      <w:r>
        <w:rPr>
          <w:rFonts w:hint="eastAsia" w:ascii="Times New Roman" w:hAnsi="Times New Roman" w:eastAsia="仿宋_GB2312" w:cs="Times New Roman"/>
          <w:sz w:val="30"/>
          <w:szCs w:val="30"/>
        </w:rPr>
        <w:t>。优化投资方向，重点投向新型基础设施、新型城镇化、交通水利等重大工程项目建设。全力推进县城补短板强弱项工作，加快补齐市政工程、农业农村、公共安全、生态环保、公共卫生、物资储备、防灾减灾、民生保障等领域短板。发挥政府投资撬动作用，激发民间投资活力，形成市场主导的投资内生增长机制。深化民间资本进入社会领域改革试点，推动更多领域向社会资本特别是民间资本开放。</w:t>
      </w:r>
    </w:p>
    <w:p>
      <w:pPr>
        <w:spacing w:line="560" w:lineRule="exac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创新投融资模式。</w:t>
      </w:r>
      <w:r>
        <w:rPr>
          <w:rFonts w:hint="eastAsia" w:ascii="Times New Roman" w:hAnsi="Times New Roman" w:eastAsia="仿宋_GB2312" w:cs="Times New Roman"/>
          <w:sz w:val="30"/>
          <w:szCs w:val="30"/>
        </w:rPr>
        <w:t>积极推广政府与社会资本合作（</w:t>
      </w:r>
      <w:r>
        <w:rPr>
          <w:rFonts w:ascii="Times New Roman" w:hAnsi="Times New Roman" w:eastAsia="仿宋_GB2312" w:cs="Times New Roman"/>
          <w:sz w:val="30"/>
          <w:szCs w:val="30"/>
        </w:rPr>
        <w:t>PPP</w:t>
      </w:r>
      <w:r>
        <w:rPr>
          <w:rFonts w:hint="eastAsia" w:ascii="Times New Roman" w:hAnsi="Times New Roman" w:eastAsia="仿宋_GB2312" w:cs="Times New Roman"/>
          <w:sz w:val="30"/>
          <w:szCs w:val="30"/>
        </w:rPr>
        <w:t>）模式，鼓励通过</w:t>
      </w:r>
      <w:r>
        <w:rPr>
          <w:rFonts w:ascii="Times New Roman" w:hAnsi="Times New Roman" w:eastAsia="仿宋_GB2312" w:cs="Times New Roman"/>
          <w:sz w:val="30"/>
          <w:szCs w:val="30"/>
        </w:rPr>
        <w:t>PPP</w:t>
      </w:r>
      <w:r>
        <w:rPr>
          <w:rFonts w:hint="eastAsia" w:ascii="Times New Roman" w:hAnsi="Times New Roman" w:eastAsia="仿宋_GB2312" w:cs="Times New Roman"/>
          <w:sz w:val="30"/>
          <w:szCs w:val="30"/>
        </w:rPr>
        <w:t>方式盘活存量资源，建立健全政府和社会资本合作（</w:t>
      </w:r>
      <w:r>
        <w:rPr>
          <w:rFonts w:ascii="Times New Roman" w:hAnsi="Times New Roman" w:eastAsia="仿宋_GB2312" w:cs="Times New Roman"/>
          <w:sz w:val="30"/>
          <w:szCs w:val="30"/>
        </w:rPr>
        <w:t>PPP</w:t>
      </w:r>
      <w:r>
        <w:rPr>
          <w:rFonts w:hint="eastAsia" w:ascii="Times New Roman" w:hAnsi="Times New Roman" w:eastAsia="仿宋_GB2312" w:cs="Times New Roman"/>
          <w:sz w:val="30"/>
          <w:szCs w:val="30"/>
        </w:rPr>
        <w:t>）机制，支持开展排污权、收费权、购买服务协议质（抵）押等担保贷款业务，探索利用工程供水、供热、发电、污水垃圾处理等预期收益质押贷款。设立政府引导、市场化运作的产业（股权）投资基金，积极吸引社会资本参与，发挥社会资本对实体经济支撑作用。</w:t>
      </w:r>
    </w:p>
    <w:tbl>
      <w:tblPr>
        <w:tblStyle w:val="15"/>
        <w:tblW w:w="0" w:type="auto"/>
        <w:tblInd w:w="0" w:type="dxa"/>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autofit"/>
        <w:tblCellMar>
          <w:top w:w="0" w:type="dxa"/>
          <w:left w:w="108" w:type="dxa"/>
          <w:bottom w:w="0" w:type="dxa"/>
          <w:right w:w="108" w:type="dxa"/>
        </w:tblCellMar>
      </w:tblPr>
      <w:tblGrid>
        <w:gridCol w:w="8276"/>
      </w:tblGrid>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PrEx>
        <w:tc>
          <w:tcPr>
            <w:tcW w:w="8276" w:type="dxa"/>
          </w:tcPr>
          <w:p>
            <w:pPr>
              <w:snapToGrid w:val="0"/>
              <w:jc w:val="center"/>
              <w:rPr>
                <w:rFonts w:ascii="Times New Roman" w:hAnsi="Times New Roman" w:eastAsia="楷体" w:cs="Times New Roman"/>
                <w:sz w:val="28"/>
                <w:szCs w:val="32"/>
              </w:rPr>
            </w:pPr>
            <w:r>
              <w:rPr>
                <w:rFonts w:hint="eastAsia" w:ascii="Times New Roman" w:hAnsi="Times New Roman" w:eastAsia="楷体" w:cs="Times New Roman"/>
                <w:sz w:val="28"/>
                <w:szCs w:val="32"/>
              </w:rPr>
              <w:t>专栏六</w:t>
            </w:r>
            <w:r>
              <w:rPr>
                <w:rFonts w:ascii="Times New Roman" w:hAnsi="Times New Roman" w:eastAsia="楷体" w:cs="Times New Roman"/>
                <w:sz w:val="28"/>
                <w:szCs w:val="32"/>
              </w:rPr>
              <w:t xml:space="preserve">  </w:t>
            </w:r>
            <w:r>
              <w:rPr>
                <w:rFonts w:hint="eastAsia" w:ascii="Times New Roman" w:hAnsi="Times New Roman" w:eastAsia="楷体" w:cs="Times New Roman"/>
                <w:sz w:val="28"/>
                <w:szCs w:val="32"/>
              </w:rPr>
              <w:t>县域物流网络建设工程</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c>
          <w:tcPr>
            <w:tcW w:w="8276" w:type="dxa"/>
          </w:tcPr>
          <w:p>
            <w:pPr>
              <w:ind w:firstLine="482" w:firstLineChars="200"/>
              <w:rPr>
                <w:rFonts w:ascii="Times New Roman" w:hAnsi="Times New Roman" w:eastAsia="仿宋_GB2312" w:cs="Times New Roman"/>
                <w:bCs/>
                <w:sz w:val="24"/>
                <w:szCs w:val="24"/>
              </w:rPr>
            </w:pPr>
            <w:bookmarkStart w:id="70" w:name="_Hlk59994407"/>
            <w:r>
              <w:rPr>
                <w:rFonts w:hint="eastAsia" w:ascii="Times New Roman" w:hAnsi="Times New Roman" w:eastAsia="仿宋_GB2312" w:cs="Times New Roman"/>
                <w:b/>
                <w:sz w:val="24"/>
                <w:szCs w:val="24"/>
              </w:rPr>
              <w:t>建设豫东地区重要的物流供应链枢纽。</w:t>
            </w:r>
            <w:r>
              <w:rPr>
                <w:rFonts w:hint="eastAsia" w:ascii="Times New Roman" w:hAnsi="Times New Roman" w:eastAsia="仿宋_GB2312" w:cs="Times New Roman"/>
                <w:bCs/>
                <w:sz w:val="24"/>
                <w:szCs w:val="24"/>
              </w:rPr>
              <w:t>编制完成夏邑县物流业高质量发展规划，围绕生产资料、生活资料的高效运输配送，规划建设以车站公铁联运物流园和沱河港水陆联运物流园为“双核”，各乡镇综合物流服务平台为支撑，覆盖全县，辐射豫东地区的高效物流服务网络。</w:t>
            </w:r>
          </w:p>
          <w:p>
            <w:pPr>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sz w:val="24"/>
                <w:szCs w:val="24"/>
              </w:rPr>
              <w:t>加快推进夏邑火车站提升改造。</w:t>
            </w:r>
            <w:r>
              <w:rPr>
                <w:rFonts w:hint="eastAsia" w:ascii="Times New Roman" w:hAnsi="Times New Roman" w:eastAsia="仿宋_GB2312" w:cs="Times New Roman"/>
                <w:bCs/>
                <w:sz w:val="24"/>
                <w:szCs w:val="24"/>
              </w:rPr>
              <w:t>在完成夏邑火车站内部空间容量、货运容量、班次、周边道路、站前广场等的提质优化以及外部环境品质提升的基础上，进一步规划建设公铁联运物流产业园，打造夏邑北部物流枢纽。</w:t>
            </w:r>
          </w:p>
          <w:p>
            <w:pPr>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sz w:val="24"/>
                <w:szCs w:val="24"/>
              </w:rPr>
              <w:t>规划建设沱河港水陆联运物流园。</w:t>
            </w:r>
            <w:r>
              <w:rPr>
                <w:rFonts w:hint="eastAsia" w:ascii="Times New Roman" w:hAnsi="Times New Roman" w:eastAsia="仿宋_GB2312" w:cs="Times New Roman"/>
                <w:bCs/>
                <w:sz w:val="24"/>
                <w:szCs w:val="24"/>
              </w:rPr>
              <w:t>在产业集聚区内规划建设占地约</w:t>
            </w:r>
            <w:r>
              <w:rPr>
                <w:rFonts w:ascii="Times New Roman" w:hAnsi="Times New Roman" w:eastAsia="仿宋_GB2312" w:cs="Times New Roman"/>
                <w:bCs/>
                <w:sz w:val="24"/>
                <w:szCs w:val="24"/>
              </w:rPr>
              <w:t>300</w:t>
            </w:r>
            <w:r>
              <w:rPr>
                <w:rFonts w:hint="eastAsia" w:ascii="Times New Roman" w:hAnsi="Times New Roman" w:eastAsia="仿宋_GB2312" w:cs="Times New Roman"/>
                <w:bCs/>
                <w:sz w:val="24"/>
                <w:szCs w:val="24"/>
              </w:rPr>
              <w:t>亩左右的综合物流园区，重点面向纺织服装、装备制造、农产品精深加工等主导产业，提供综合物流服务，打造水陆联运物流枢纽。</w:t>
            </w:r>
          </w:p>
          <w:p>
            <w:pPr>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sz w:val="24"/>
                <w:szCs w:val="24"/>
              </w:rPr>
              <w:t>建设乡镇综合物流服务平台。</w:t>
            </w:r>
            <w:r>
              <w:rPr>
                <w:rFonts w:hint="eastAsia" w:ascii="Times New Roman" w:hAnsi="Times New Roman" w:eastAsia="仿宋_GB2312" w:cs="Times New Roman"/>
                <w:bCs/>
                <w:sz w:val="24"/>
                <w:szCs w:val="24"/>
              </w:rPr>
              <w:t>加快完善“县乡村”三级物流体系，根据生产和生活需要，开通物流专线，建成</w:t>
            </w:r>
            <w:r>
              <w:rPr>
                <w:rFonts w:ascii="Times New Roman" w:hAnsi="Times New Roman" w:eastAsia="仿宋_GB2312" w:cs="Times New Roman"/>
                <w:bCs/>
                <w:sz w:val="24"/>
                <w:szCs w:val="24"/>
              </w:rPr>
              <w:t>3-5</w:t>
            </w:r>
            <w:r>
              <w:rPr>
                <w:rFonts w:hint="eastAsia" w:ascii="Times New Roman" w:hAnsi="Times New Roman" w:eastAsia="仿宋_GB2312" w:cs="Times New Roman"/>
                <w:bCs/>
                <w:sz w:val="24"/>
                <w:szCs w:val="24"/>
              </w:rPr>
              <w:t>个区域性快递分拨中心，打造县级枢纽、乡镇有平台、村级有网点的多层次物流网络，助推物流降本增效。</w:t>
            </w:r>
            <w:bookmarkEnd w:id="70"/>
          </w:p>
        </w:tc>
      </w:tr>
    </w:tbl>
    <w:p>
      <w:pPr>
        <w:spacing w:before="156" w:beforeLines="50" w:after="156" w:afterLines="50"/>
        <w:ind w:firstLine="640" w:firstLineChars="200"/>
        <w:outlineLvl w:val="0"/>
        <w:rPr>
          <w:rFonts w:ascii="Times New Roman" w:hAnsi="Times New Roman" w:eastAsia="黑体" w:cs="Times New Roman"/>
          <w:sz w:val="32"/>
          <w:szCs w:val="32"/>
        </w:rPr>
        <w:sectPr>
          <w:pgSz w:w="11906" w:h="16838"/>
          <w:pgMar w:top="1440" w:right="1800" w:bottom="1440" w:left="1800" w:header="851" w:footer="992" w:gutter="0"/>
          <w:cols w:space="425" w:num="1"/>
          <w:docGrid w:type="lines" w:linePitch="312" w:charSpace="0"/>
        </w:sectPr>
      </w:pPr>
      <w:bookmarkStart w:id="71" w:name="_Toc59921191"/>
    </w:p>
    <w:bookmarkEnd w:id="71"/>
    <w:p>
      <w:pPr>
        <w:spacing w:before="156" w:beforeLines="50" w:after="156" w:afterLines="50"/>
        <w:ind w:firstLine="640" w:firstLineChars="200"/>
        <w:outlineLvl w:val="0"/>
        <w:rPr>
          <w:rFonts w:ascii="Times New Roman" w:hAnsi="Times New Roman" w:eastAsia="黑体" w:cs="Times New Roman"/>
          <w:sz w:val="32"/>
          <w:szCs w:val="32"/>
        </w:rPr>
      </w:pPr>
      <w:bookmarkStart w:id="72" w:name="_Toc65060523"/>
      <w:r>
        <w:rPr>
          <w:rFonts w:hint="eastAsia" w:ascii="Times New Roman" w:hAnsi="Times New Roman" w:eastAsia="黑体" w:cs="Times New Roman"/>
          <w:sz w:val="32"/>
          <w:szCs w:val="32"/>
        </w:rPr>
        <w:t>六、</w:t>
      </w:r>
      <w:bookmarkStart w:id="73" w:name="_Hlk59016784"/>
      <w:bookmarkStart w:id="74" w:name="_Hlk59992054"/>
      <w:r>
        <w:rPr>
          <w:rFonts w:hint="eastAsia" w:ascii="Times New Roman" w:hAnsi="Times New Roman" w:eastAsia="黑体" w:cs="Times New Roman"/>
          <w:sz w:val="32"/>
          <w:szCs w:val="32"/>
        </w:rPr>
        <w:t>全面建设新型城镇，构建城乡融合发展新形态</w:t>
      </w:r>
      <w:bookmarkEnd w:id="72"/>
      <w:bookmarkEnd w:id="73"/>
    </w:p>
    <w:bookmarkEnd w:id="74"/>
    <w:p>
      <w:pPr>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坚持以人为核心，构建统筹协调的县域总体格局，提高中心城区发展能级，构筑特色发展乡镇体系，建设魅力宜居的城市风貌，强化互联互通的基础设施体系，打造现代美丽人居建设标杆。</w:t>
      </w:r>
    </w:p>
    <w:p>
      <w:pPr>
        <w:spacing w:before="120" w:after="120" w:line="560" w:lineRule="exact"/>
        <w:ind w:firstLine="640" w:firstLineChars="200"/>
        <w:outlineLvl w:val="1"/>
        <w:rPr>
          <w:rFonts w:ascii="Times New Roman" w:hAnsi="Times New Roman" w:eastAsia="楷体" w:cstheme="majorBidi"/>
          <w:sz w:val="32"/>
          <w:szCs w:val="32"/>
        </w:rPr>
      </w:pPr>
      <w:bookmarkStart w:id="75" w:name="_Toc59921192"/>
      <w:bookmarkStart w:id="76" w:name="_Toc65060524"/>
      <w:r>
        <w:rPr>
          <w:rFonts w:hint="eastAsia" w:ascii="Times New Roman" w:hAnsi="Times New Roman" w:eastAsia="楷体" w:cstheme="majorBidi"/>
          <w:sz w:val="32"/>
          <w:szCs w:val="32"/>
        </w:rPr>
        <w:t>（一）</w:t>
      </w:r>
      <w:bookmarkEnd w:id="75"/>
      <w:r>
        <w:rPr>
          <w:rFonts w:hint="eastAsia" w:ascii="Times New Roman" w:hAnsi="Times New Roman" w:eastAsia="楷体" w:cstheme="majorBidi"/>
          <w:sz w:val="32"/>
          <w:szCs w:val="32"/>
        </w:rPr>
        <w:t>统筹编制县域国土空间规划</w:t>
      </w:r>
      <w:bookmarkEnd w:id="76"/>
    </w:p>
    <w:p>
      <w:pPr>
        <w:spacing w:line="560" w:lineRule="exact"/>
        <w:ind w:firstLine="600" w:firstLineChars="200"/>
        <w:rPr>
          <w:rFonts w:ascii="Times New Roman" w:hAnsi="Times New Roman" w:eastAsia="仿宋_GB2312"/>
          <w:bCs/>
          <w:sz w:val="30"/>
          <w:szCs w:val="30"/>
        </w:rPr>
      </w:pPr>
      <w:r>
        <w:rPr>
          <w:rFonts w:hint="eastAsia" w:ascii="Times New Roman" w:hAnsi="Times New Roman" w:eastAsia="仿宋_GB2312"/>
          <w:bCs/>
          <w:sz w:val="30"/>
          <w:szCs w:val="30"/>
        </w:rPr>
        <w:t>按照产城融合、以城带乡、城乡协调发展的思路，创新编制方法，全面开展覆盖夏邑县域的城乡总体规划编制工作，实现“三规合一”规划布局，充分发挥规划的总领作用，引导城乡统筹发展。强化国土空间规划的战略引领地位，全面建立科学编制、依法实施、严格监管的现代化城乡规划体系，完成23个乡镇的国土空间规划编制工作，同时按照“应编尽编”的原则，以乡镇为单位，采取连片编制或独立编制等方式，启动“多规合一”村庄规划编制，逐步实现夏邑村庄规划“全覆盖”。严格按照《中心城区控制性详细规划》及各类专项规划的具体要求，对重点开发区域、项目和时序作出安排，促进成片开发、集中建设。在拓展新区，扩大城市规模，拉开城市骨架的同时完善城市功能，提升城市品质和形象，加强城市天际线设计，注重建筑风格改造。继续做好老城“改造提升”，扩大公共设施范围，优化城市用地空间布局，提升城市产业承载力。</w:t>
      </w:r>
    </w:p>
    <w:p>
      <w:pPr>
        <w:spacing w:before="120" w:after="120" w:line="560" w:lineRule="exact"/>
        <w:ind w:firstLine="640" w:firstLineChars="200"/>
        <w:outlineLvl w:val="1"/>
        <w:rPr>
          <w:rFonts w:ascii="Times New Roman" w:hAnsi="Times New Roman" w:eastAsia="楷体" w:cstheme="majorBidi"/>
          <w:sz w:val="32"/>
          <w:szCs w:val="32"/>
        </w:rPr>
      </w:pPr>
      <w:bookmarkStart w:id="77" w:name="_Toc59921193"/>
      <w:bookmarkStart w:id="78" w:name="_Toc65060525"/>
      <w:r>
        <w:rPr>
          <w:rFonts w:hint="eastAsia" w:ascii="Times New Roman" w:hAnsi="Times New Roman" w:eastAsia="楷体" w:cstheme="majorBidi"/>
          <w:sz w:val="32"/>
          <w:szCs w:val="32"/>
        </w:rPr>
        <w:t>（二）做强提升中心城区</w:t>
      </w:r>
      <w:bookmarkEnd w:id="77"/>
      <w:r>
        <w:rPr>
          <w:rFonts w:hint="eastAsia" w:ascii="Times New Roman" w:hAnsi="Times New Roman" w:eastAsia="楷体" w:cstheme="majorBidi"/>
          <w:sz w:val="32"/>
          <w:szCs w:val="32"/>
        </w:rPr>
        <w:t>能级</w:t>
      </w:r>
      <w:bookmarkEnd w:id="78"/>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优化城市主体板块功能。</w:t>
      </w:r>
      <w:r>
        <w:rPr>
          <w:rFonts w:hint="eastAsia" w:ascii="Times New Roman" w:hAnsi="Times New Roman" w:eastAsia="仿宋_GB2312"/>
          <w:bCs/>
          <w:sz w:val="30"/>
          <w:szCs w:val="30"/>
        </w:rPr>
        <w:t>推动中心城区</w:t>
      </w:r>
      <w:r>
        <w:rPr>
          <w:rFonts w:hint="eastAsia" w:ascii="Times New Roman" w:hAnsi="Times New Roman" w:eastAsia="仿宋_GB2312"/>
          <w:b/>
          <w:sz w:val="30"/>
          <w:szCs w:val="30"/>
        </w:rPr>
        <w:t>“东优、西启、南建、北塑”</w:t>
      </w:r>
      <w:r>
        <w:rPr>
          <w:rFonts w:hint="eastAsia" w:ascii="Times New Roman" w:hAnsi="Times New Roman" w:eastAsia="仿宋_GB2312"/>
          <w:bCs/>
          <w:sz w:val="30"/>
          <w:szCs w:val="30"/>
        </w:rPr>
        <w:t>，筑牢城市发展根基。</w:t>
      </w:r>
      <w:r>
        <w:rPr>
          <w:rFonts w:hint="eastAsia" w:ascii="Times New Roman" w:hAnsi="Times New Roman" w:eastAsia="仿宋_GB2312"/>
          <w:sz w:val="30"/>
          <w:szCs w:val="30"/>
        </w:rPr>
        <w:t>推进城东新城生活区开发建设，打造未来中心城区商贸、居住等功能的主要窗口；启动城西南天龙湖板块的整体开发，打造集休闲旅游、文化创意、科技创新、商务会展、城市生态等多功能于一体的综合性城市形象展示区，建设夏邑城市客厅；加快城南产业集聚区建设，依托产业、交通优势，进一步推动产城功能升级，加快打造产城融合发展样板。推动老城有机更新工程，打造县域综合服务功能核心。持续推进老旧小区改造升级工程。</w:t>
      </w:r>
    </w:p>
    <w:p>
      <w:pPr>
        <w:spacing w:line="560" w:lineRule="exact"/>
        <w:ind w:firstLine="602" w:firstLineChars="200"/>
        <w:rPr>
          <w:rFonts w:ascii="Times New Roman" w:hAnsi="Times New Roman" w:eastAsia="仿宋_GB2312"/>
          <w:bCs/>
          <w:sz w:val="30"/>
          <w:szCs w:val="30"/>
        </w:rPr>
      </w:pPr>
      <w:r>
        <w:rPr>
          <w:rFonts w:hint="eastAsia" w:ascii="Times New Roman" w:hAnsi="Times New Roman" w:eastAsia="仿宋_GB2312"/>
          <w:b/>
          <w:sz w:val="30"/>
          <w:szCs w:val="30"/>
        </w:rPr>
        <w:t>完善城市配套设施。</w:t>
      </w:r>
      <w:r>
        <w:rPr>
          <w:rFonts w:hint="eastAsia" w:ascii="Times New Roman" w:hAnsi="Times New Roman" w:eastAsia="仿宋_GB2312"/>
          <w:bCs/>
          <w:sz w:val="30"/>
          <w:szCs w:val="30"/>
        </w:rPr>
        <w:t>立足城乡总体规划，坚持功能配套和结构优化，推进城市配套设施一体化建设和网络化发展，加快实施城市配套设施提质行动，加快水、电、路、讯、气、热、教、体等基础设施建设，形成适应人口和产业聚集需求、完备高效的设施体系，增强县城承载能力，全面提升城市综合功能和区域板块影响力。</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推动存量有机更新。</w:t>
      </w:r>
      <w:r>
        <w:rPr>
          <w:rFonts w:hint="eastAsia" w:ascii="Times New Roman" w:hAnsi="Times New Roman" w:eastAsia="仿宋_GB2312"/>
          <w:sz w:val="30"/>
          <w:szCs w:val="30"/>
        </w:rPr>
        <w:t>实施功能再植、用地调整、交通重构、景观营造等策略，优化设施配套，提高政府资产利用率，完善在全县范围内党政机关、参公单位办公用房统一调配使用机制，推动行政中心办公楼建设，促进机关食堂、大型会议中心合理利用。优化公共活动空间、停车设施等县政交通和公共服务设施建设，对符合条件的老旧小区进行剧中环境综合治理。深入推进城市地下空间开发利用，加快制定《夏邑县城市地下空间暨人民防空工程综合利用规划》，尽快建成功能齐全，平战结合的地下人防工程体系和战备体系。探索以社区和街区为单元进行改造的商业模式。以“未来社区”理念打造新越社区等一批城市社区建设样板。</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提升城市景观风貌。</w:t>
      </w:r>
      <w:r>
        <w:rPr>
          <w:rFonts w:hint="eastAsia" w:ascii="Times New Roman" w:hAnsi="Times New Roman" w:eastAsia="仿宋_GB2312"/>
          <w:sz w:val="30"/>
          <w:szCs w:val="30"/>
        </w:rPr>
        <w:t>推进“整洁、宜居、文明”美丽街道、美丽社区、美丽县城建设，实现城区精细化管理全覆盖。以国家级园林县城巩固为目标，以公园城市建设为抓手，实施老城区（北区）绿化改造和新城区（南区）绿化提升（打造出一批口袋公园、小微绿地）；落实县城总体规划（绿地系统规划），建设城区北部、东北部公园广场5-10个；落实“绿水青山就是金山银山”理念，建设城郊结合部郊野公园3-5个；以天龙湖、沱河、御道河交界区域为重点，打造城市生态景观核心区；以长寿文化为依托，建设御道河文化休闲景观带；实施中心城区和城区主要出入口绿化亮化美化工程，提升城区品味。</w:t>
      </w:r>
    </w:p>
    <w:tbl>
      <w:tblPr>
        <w:tblStyle w:val="15"/>
        <w:tblW w:w="0" w:type="auto"/>
        <w:tblInd w:w="0" w:type="dxa"/>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autofit"/>
        <w:tblCellMar>
          <w:top w:w="0" w:type="dxa"/>
          <w:left w:w="108" w:type="dxa"/>
          <w:bottom w:w="0" w:type="dxa"/>
          <w:right w:w="108" w:type="dxa"/>
        </w:tblCellMar>
      </w:tblPr>
      <w:tblGrid>
        <w:gridCol w:w="8276"/>
      </w:tblGrid>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c>
          <w:tcPr>
            <w:tcW w:w="8276" w:type="dxa"/>
          </w:tcPr>
          <w:p>
            <w:pPr>
              <w:snapToGrid w:val="0"/>
              <w:jc w:val="center"/>
              <w:rPr>
                <w:rFonts w:ascii="Times New Roman" w:hAnsi="Times New Roman" w:eastAsia="楷体" w:cs="Times New Roman"/>
                <w:sz w:val="28"/>
                <w:szCs w:val="32"/>
              </w:rPr>
            </w:pPr>
            <w:r>
              <w:rPr>
                <w:rFonts w:hint="eastAsia" w:ascii="Times New Roman" w:hAnsi="Times New Roman" w:eastAsia="楷体" w:cs="Times New Roman"/>
                <w:sz w:val="28"/>
                <w:szCs w:val="32"/>
              </w:rPr>
              <w:t>专栏七</w:t>
            </w:r>
            <w:r>
              <w:rPr>
                <w:rFonts w:ascii="Times New Roman" w:hAnsi="Times New Roman" w:eastAsia="楷体" w:cs="Times New Roman"/>
                <w:sz w:val="28"/>
                <w:szCs w:val="32"/>
              </w:rPr>
              <w:t xml:space="preserve">  </w:t>
            </w:r>
            <w:r>
              <w:rPr>
                <w:rFonts w:hint="eastAsia" w:ascii="Times New Roman" w:hAnsi="Times New Roman" w:eastAsia="楷体" w:cs="Times New Roman"/>
                <w:sz w:val="28"/>
                <w:szCs w:val="32"/>
              </w:rPr>
              <w:t>中心城区有机更新工程</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c>
          <w:tcPr>
            <w:tcW w:w="8276" w:type="dxa"/>
          </w:tcPr>
          <w:p>
            <w:pPr>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sz w:val="24"/>
                <w:szCs w:val="24"/>
              </w:rPr>
              <w:t>城市配套设施提质行动。</w:t>
            </w:r>
            <w:r>
              <w:rPr>
                <w:rFonts w:hint="eastAsia" w:ascii="Times New Roman" w:hAnsi="Times New Roman" w:eastAsia="仿宋_GB2312" w:cs="Times New Roman"/>
                <w:bCs/>
                <w:sz w:val="24"/>
                <w:szCs w:val="24"/>
              </w:rPr>
              <w:t>（1）道路。完成东环路、北环路道路建设；完成新兴街、昌盛路南段、崇文西路、永福街、大同路北段、政新街、雪枫路东延、华夏大道东延、县府路东扩、永平街、腾飞大道、儒商路、创业路、步行街道路建设；形成纵横成网、内围贯通、外围成环的城区路网体系。（2）污水处理设施。实施夏邑县第一、第二、第三污水处理厂升级改造工作，由国家一级A排放标准，改造为为地表四类水标准。建设夏邑县第五污水处理厂，使我县污水日处理能力达到20万吨。在第一、第三污水处理厂周边建设中水回用系统，使处理后的中水用于街道洒水、苗木灌溉、河道补水等，减少地下水的使用量。（3）雨污水分流。统筹规划市政雨污水管道分流改造，到“十四五”末，城区雨污水分流率达到85%以上。（4）排水防涝。加快推进孔祖大道、秉礼路、栗园路、中和街、东光街等城区主要积水点的改造工作；制订栗园路、栗城路、东光街、中和街等部分积水点建设规划，按照规划抓好落实，确保城区汛期不出现内涝问题。（5）集中供热。2021年底县城老城区要实现集中供热，2022年县城老城区供热覆盖率要达到80%；2025年底，城区供热覆盖率要达到90%以上，集中供热面积不少于400万平方米。（6）清洁能源。加快推进集中居住区、老旧小区、工业集聚区通管道燃气的力度，2025年底，管道燃气覆盖率达到98%。加快推进清洁能源进村入户，2025年底，乡镇管道燃气入户率达到50%。（7）供水。完成长寿大道南段、创业路等7条道路的供水配套管网建设；完成老城区22.8公里的老旧供水管网的改造工作，加强水质检测，确保水质达标。（8）垃圾处理。加快推进生活垃圾焚烧飞灰固化物填埋场工程项目、垃圾焚烧（光大质能发电）处理厂二期工程项目、静脉产业园餐厨垃圾项目、建筑垃圾处置项目等的建设。（9）充电桩及停车场。在夏邑县城区筹建电动汽车充电基础设施建设项目6个，建设立体停车场建设项目6个。（1</w:t>
            </w:r>
            <w:r>
              <w:rPr>
                <w:rFonts w:ascii="Times New Roman" w:hAnsi="Times New Roman" w:eastAsia="仿宋_GB2312" w:cs="Times New Roman"/>
                <w:bCs/>
                <w:sz w:val="24"/>
                <w:szCs w:val="24"/>
              </w:rPr>
              <w:t>0</w:t>
            </w:r>
            <w:r>
              <w:rPr>
                <w:rFonts w:hint="eastAsia" w:ascii="Times New Roman" w:hAnsi="Times New Roman" w:eastAsia="仿宋_GB2312" w:cs="Times New Roman"/>
                <w:bCs/>
                <w:sz w:val="24"/>
                <w:szCs w:val="24"/>
              </w:rPr>
              <w:t>）公厕建设工程。在城区合理规划并建设高标准水冲式公厕、垃圾中转站6座。</w:t>
            </w:r>
          </w:p>
          <w:p>
            <w:pPr>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sz w:val="24"/>
                <w:szCs w:val="24"/>
              </w:rPr>
              <w:t>天龙湖区域综合开发。</w:t>
            </w:r>
            <w:r>
              <w:rPr>
                <w:rFonts w:hint="eastAsia" w:ascii="Times New Roman" w:hAnsi="Times New Roman" w:eastAsia="仿宋_GB2312" w:cs="Times New Roman"/>
                <w:bCs/>
                <w:sz w:val="24"/>
                <w:szCs w:val="24"/>
              </w:rPr>
              <w:t>围绕湖心建筑重整、湖区业态重塑、湖边景观重构以及湖区功能重造，高水平编制天龙湖区域综合开发规划，创新投资开发模式，夏邑城市形象的引爆点和地标区。</w:t>
            </w:r>
          </w:p>
          <w:p>
            <w:pPr>
              <w:ind w:firstLine="482" w:firstLineChars="200"/>
              <w:rPr>
                <w:rFonts w:hint="eastAsia" w:ascii="Times New Roman" w:hAnsi="Times New Roman" w:eastAsia="仿宋_GB2312" w:cs="Times New Roman"/>
                <w:b/>
                <w:sz w:val="24"/>
                <w:szCs w:val="24"/>
              </w:rPr>
            </w:pPr>
          </w:p>
          <w:p>
            <w:pPr>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sz w:val="24"/>
                <w:szCs w:val="24"/>
              </w:rPr>
              <w:t>中心城区旧城改造</w:t>
            </w:r>
            <w:r>
              <w:rPr>
                <w:rFonts w:hint="eastAsia" w:ascii="Times New Roman" w:hAnsi="Times New Roman" w:eastAsia="仿宋_GB2312" w:cs="Times New Roman"/>
                <w:bCs/>
                <w:sz w:val="24"/>
                <w:szCs w:val="24"/>
              </w:rPr>
              <w:t>。推进三义街A区、B区，紫瑞园安置小区（胡桥乡丁庄、翟庄、伊庄、周楼、伊楼），城关镇孟堂、贺庄四个棚户区、城湖北片区、西关花园村、县城东部片区、曹集乡崔庄、曹集乡齐庄村（江湾城）、北环路、西环路等老城区、棚户区、危旧住宅区和城中村改造，重点发展文创、商旅、会展等业态，着力打造省级旧城综合改造示范区，将老城区建设成为生态文旅品质引领区和魅力老城。</w:t>
            </w:r>
            <w:r>
              <w:rPr>
                <w:rFonts w:hint="eastAsia" w:ascii="仿宋" w:hAnsi="仿宋" w:eastAsia="仿宋" w:cs="仿宋"/>
                <w:bCs/>
                <w:color w:val="auto"/>
                <w:sz w:val="24"/>
                <w:szCs w:val="24"/>
                <w:u w:val="none"/>
              </w:rPr>
              <w:t>到2025年，累计完成中心城区老旧小区</w:t>
            </w:r>
            <w:r>
              <w:rPr>
                <w:rFonts w:hint="eastAsia" w:ascii="仿宋" w:hAnsi="仿宋" w:eastAsia="仿宋" w:cs="仿宋"/>
                <w:bCs/>
                <w:color w:val="auto"/>
                <w:sz w:val="24"/>
                <w:szCs w:val="24"/>
                <w:u w:val="none"/>
                <w:lang w:eastAsia="zh-CN"/>
              </w:rPr>
              <w:t>改造面积</w:t>
            </w:r>
            <w:r>
              <w:rPr>
                <w:rFonts w:hint="eastAsia" w:ascii="仿宋" w:hAnsi="仿宋" w:eastAsia="仿宋" w:cs="仿宋"/>
                <w:bCs/>
                <w:color w:val="auto"/>
                <w:sz w:val="24"/>
                <w:szCs w:val="24"/>
                <w:u w:val="none"/>
                <w:lang w:val="en-US" w:eastAsia="zh-CN"/>
              </w:rPr>
              <w:t>21.36万平方米，</w:t>
            </w:r>
            <w:r>
              <w:rPr>
                <w:rFonts w:hint="eastAsia" w:ascii="仿宋" w:hAnsi="仿宋" w:eastAsia="仿宋" w:cs="仿宋"/>
                <w:bCs/>
                <w:color w:val="auto"/>
                <w:sz w:val="24"/>
                <w:szCs w:val="24"/>
                <w:u w:val="none"/>
              </w:rPr>
              <w:t>城中村改造面积</w:t>
            </w:r>
            <w:r>
              <w:rPr>
                <w:rFonts w:hint="eastAsia" w:ascii="仿宋" w:hAnsi="仿宋" w:eastAsia="仿宋" w:cs="仿宋"/>
                <w:bCs/>
                <w:color w:val="auto"/>
                <w:sz w:val="24"/>
                <w:szCs w:val="24"/>
                <w:u w:val="none"/>
                <w:lang w:val="en-US" w:eastAsia="zh-CN"/>
              </w:rPr>
              <w:t>45万</w:t>
            </w:r>
            <w:r>
              <w:rPr>
                <w:rFonts w:hint="eastAsia" w:ascii="仿宋" w:hAnsi="仿宋" w:eastAsia="仿宋" w:cs="仿宋"/>
                <w:bCs/>
                <w:color w:val="auto"/>
                <w:sz w:val="24"/>
                <w:szCs w:val="24"/>
                <w:u w:val="none"/>
              </w:rPr>
              <w:t>平方米。</w:t>
            </w:r>
          </w:p>
        </w:tc>
      </w:tr>
    </w:tbl>
    <w:p>
      <w:pPr>
        <w:spacing w:before="120" w:after="120" w:line="560" w:lineRule="exact"/>
        <w:ind w:firstLine="640" w:firstLineChars="200"/>
        <w:outlineLvl w:val="1"/>
        <w:rPr>
          <w:rFonts w:ascii="Times New Roman" w:hAnsi="Times New Roman" w:eastAsia="楷体" w:cstheme="majorBidi"/>
          <w:sz w:val="32"/>
          <w:szCs w:val="32"/>
        </w:rPr>
      </w:pPr>
      <w:bookmarkStart w:id="79" w:name="_Toc59921194"/>
      <w:bookmarkStart w:id="80" w:name="_Toc65060526"/>
      <w:r>
        <w:rPr>
          <w:rFonts w:hint="eastAsia" w:ascii="Times New Roman" w:hAnsi="Times New Roman" w:eastAsia="楷体" w:cstheme="majorBidi"/>
          <w:sz w:val="32"/>
          <w:szCs w:val="32"/>
        </w:rPr>
        <w:t>（三）</w:t>
      </w:r>
      <w:bookmarkStart w:id="81" w:name="_Hlk59992101"/>
      <w:r>
        <w:rPr>
          <w:rFonts w:hint="eastAsia" w:ascii="Times New Roman" w:hAnsi="Times New Roman" w:eastAsia="楷体" w:cstheme="majorBidi"/>
          <w:sz w:val="32"/>
          <w:szCs w:val="32"/>
        </w:rPr>
        <w:t>构筑特色彰显的乡镇体系</w:t>
      </w:r>
      <w:bookmarkEnd w:id="79"/>
      <w:bookmarkEnd w:id="80"/>
    </w:p>
    <w:bookmarkEnd w:id="81"/>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推动乡镇差异化发展。</w:t>
      </w:r>
      <w:r>
        <w:rPr>
          <w:rFonts w:hint="eastAsia" w:ascii="Times New Roman" w:hAnsi="Times New Roman" w:eastAsia="仿宋_GB2312"/>
          <w:sz w:val="30"/>
          <w:szCs w:val="30"/>
        </w:rPr>
        <w:t>依据资源优势、产业基础、人文特色等特征，分类引导各乡镇发展，提升特色化发展水平。推动车站、会亭，打造县域副中心。促进太平、济阳、骆集、火店、马头等具有较强区域中心功能的乡镇发展成为县域外围片区中心，综合服务带动地区城乡融合互动。引导李集、何营、北岭、郭店等具有较强特色优势资源的乡镇，深化特色产业发展，强化城乡就业带动支撑。</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高水平建设美丽城镇。</w:t>
      </w:r>
      <w:r>
        <w:rPr>
          <w:rFonts w:hint="eastAsia" w:ascii="Times New Roman" w:hAnsi="Times New Roman" w:eastAsia="仿宋_GB2312"/>
          <w:sz w:val="30"/>
          <w:szCs w:val="30"/>
        </w:rPr>
        <w:t>实施人居环境综合整治“五年提升”行动，持续推进“三改一拆”，深入开展背街小巷改造，构建</w:t>
      </w:r>
      <w:r>
        <w:rPr>
          <w:rFonts w:ascii="Times New Roman" w:hAnsi="Times New Roman" w:eastAsia="仿宋_GB2312"/>
          <w:sz w:val="30"/>
          <w:szCs w:val="30"/>
        </w:rPr>
        <w:t>10</w:t>
      </w:r>
      <w:r>
        <w:rPr>
          <w:rFonts w:hint="eastAsia" w:ascii="Times New Roman" w:hAnsi="Times New Roman" w:eastAsia="仿宋_GB2312"/>
          <w:sz w:val="30"/>
          <w:szCs w:val="30"/>
        </w:rPr>
        <w:t>—</w:t>
      </w:r>
      <w:r>
        <w:rPr>
          <w:rFonts w:ascii="Times New Roman" w:hAnsi="Times New Roman" w:eastAsia="仿宋_GB2312"/>
          <w:sz w:val="30"/>
          <w:szCs w:val="30"/>
        </w:rPr>
        <w:t>30</w:t>
      </w:r>
      <w:r>
        <w:rPr>
          <w:rFonts w:hint="eastAsia" w:ascii="Times New Roman" w:hAnsi="Times New Roman" w:eastAsia="仿宋_GB2312"/>
          <w:sz w:val="30"/>
          <w:szCs w:val="30"/>
        </w:rPr>
        <w:t>分钟可接入对外交通快速路网的交通网络。完善乡镇功能，推进镇、村</w:t>
      </w:r>
      <w:r>
        <w:rPr>
          <w:rFonts w:ascii="Times New Roman" w:hAnsi="Times New Roman" w:eastAsia="仿宋_GB2312"/>
          <w:sz w:val="30"/>
          <w:szCs w:val="30"/>
        </w:rPr>
        <w:t>15</w:t>
      </w:r>
      <w:r>
        <w:rPr>
          <w:rFonts w:hint="eastAsia" w:ascii="Times New Roman" w:hAnsi="Times New Roman" w:eastAsia="仿宋_GB2312"/>
          <w:sz w:val="30"/>
          <w:szCs w:val="30"/>
        </w:rPr>
        <w:t>分钟生活服务圈建设。促进环卫保洁、街（路）长制、网格长制等长效管控机制全覆盖，推动各乡镇“三治四防、共建共享”、“五治合一”、基层四平台建设，全面提升乡镇人居环境品质。</w:t>
      </w:r>
    </w:p>
    <w:p>
      <w:pPr>
        <w:spacing w:before="120" w:after="120" w:line="560" w:lineRule="exact"/>
        <w:ind w:firstLine="640" w:firstLineChars="200"/>
        <w:outlineLvl w:val="1"/>
        <w:rPr>
          <w:rFonts w:ascii="Times New Roman" w:hAnsi="Times New Roman" w:eastAsia="楷体" w:cstheme="majorBidi"/>
          <w:sz w:val="32"/>
          <w:szCs w:val="32"/>
        </w:rPr>
      </w:pPr>
      <w:bookmarkStart w:id="82" w:name="_Toc65060527"/>
      <w:bookmarkStart w:id="83" w:name="_Toc59921195"/>
      <w:r>
        <w:rPr>
          <w:rFonts w:hint="eastAsia" w:ascii="Times New Roman" w:hAnsi="Times New Roman" w:eastAsia="楷体" w:cstheme="majorBidi"/>
          <w:sz w:val="32"/>
          <w:szCs w:val="32"/>
        </w:rPr>
        <w:t>（四）</w:t>
      </w:r>
      <w:bookmarkStart w:id="84" w:name="_Hlk59992117"/>
      <w:r>
        <w:rPr>
          <w:rFonts w:hint="eastAsia" w:ascii="Times New Roman" w:hAnsi="Times New Roman" w:eastAsia="楷体" w:cstheme="majorBidi"/>
          <w:sz w:val="32"/>
          <w:szCs w:val="32"/>
        </w:rPr>
        <w:t>推进以人为核心的新型城镇化</w:t>
      </w:r>
      <w:bookmarkEnd w:id="82"/>
      <w:bookmarkEnd w:id="83"/>
      <w:bookmarkEnd w:id="84"/>
    </w:p>
    <w:p>
      <w:pPr>
        <w:spacing w:line="560" w:lineRule="exact"/>
        <w:ind w:firstLine="602" w:firstLineChars="200"/>
        <w:rPr>
          <w:rFonts w:ascii="Times New Roman" w:hAnsi="Times New Roman" w:eastAsia="仿宋_GB2312" w:cs="仿宋_GB2312"/>
          <w:sz w:val="30"/>
          <w:szCs w:val="30"/>
        </w:rPr>
      </w:pPr>
      <w:r>
        <w:rPr>
          <w:rFonts w:hint="eastAsia" w:ascii="Times New Roman" w:hAnsi="Times New Roman" w:eastAsia="仿宋_GB2312"/>
          <w:b/>
          <w:bCs/>
          <w:sz w:val="30"/>
          <w:szCs w:val="30"/>
        </w:rPr>
        <w:t>推动农业转移人口市民化。</w:t>
      </w:r>
      <w:r>
        <w:rPr>
          <w:rFonts w:hint="eastAsia" w:ascii="Times New Roman" w:hAnsi="Times New Roman" w:eastAsia="仿宋_GB2312"/>
          <w:sz w:val="30"/>
          <w:szCs w:val="30"/>
        </w:rPr>
        <w:t>深化户籍制度改革，</w:t>
      </w:r>
      <w:r>
        <w:rPr>
          <w:rFonts w:hint="eastAsia" w:ascii="Times New Roman" w:hAnsi="Times New Roman" w:eastAsia="仿宋_GB2312"/>
          <w:bCs/>
          <w:sz w:val="30"/>
          <w:szCs w:val="30"/>
        </w:rPr>
        <w:t>有序引导常住人口向中心城区</w:t>
      </w:r>
      <w:r>
        <w:rPr>
          <w:rFonts w:hint="eastAsia" w:ascii="Times New Roman" w:hAnsi="Times New Roman" w:eastAsia="仿宋_GB2312"/>
          <w:sz w:val="30"/>
          <w:szCs w:val="30"/>
        </w:rPr>
        <w:t>集聚。完善与常住人口挂钩的公共服务体系，推动新增公共资源适当向外来人口倾斜，实现更高水平的基本公共服务均等化发展。推动外来人口逐步享受同等的社会保障、义务教育、保障性住房等公共服务，实质性提高城市生活融入度。</w:t>
      </w:r>
      <w:r>
        <w:rPr>
          <w:rFonts w:hint="eastAsia" w:ascii="Times New Roman" w:hAnsi="Times New Roman" w:eastAsia="仿宋_GB2312" w:cs="仿宋_GB2312"/>
          <w:sz w:val="30"/>
          <w:szCs w:val="30"/>
        </w:rPr>
        <w:t>建立健全“人地钱挂钩”机制，积极争取落实城镇建设用地增加规模、财政资金安排与吸纳农业转移人口落户数量挂钩政策。维护进城落户农民农村土地承包权、宅基地使用权、集体收益分配权等合法权益，建立完善自愿有偿退出机制。</w:t>
      </w:r>
    </w:p>
    <w:p>
      <w:pPr>
        <w:spacing w:line="560" w:lineRule="exact"/>
        <w:ind w:firstLine="602" w:firstLineChars="200"/>
        <w:rPr>
          <w:rFonts w:ascii="Times New Roman" w:hAnsi="Times New Roman" w:eastAsia="仿宋_GB2312" w:cs="仿宋_GB2312"/>
          <w:sz w:val="30"/>
          <w:szCs w:val="30"/>
        </w:rPr>
      </w:pPr>
      <w:r>
        <w:rPr>
          <w:rFonts w:hint="eastAsia" w:ascii="Times New Roman" w:hAnsi="Times New Roman" w:eastAsia="仿宋_GB2312" w:cs="仿宋_GB2312"/>
          <w:b/>
          <w:sz w:val="30"/>
          <w:szCs w:val="30"/>
        </w:rPr>
        <w:t>完善住房保障和供应体系。</w:t>
      </w:r>
      <w:r>
        <w:rPr>
          <w:rFonts w:hint="eastAsia" w:ascii="Times New Roman" w:hAnsi="Times New Roman" w:eastAsia="仿宋_GB2312" w:cs="仿宋_GB2312"/>
          <w:sz w:val="30"/>
          <w:szCs w:val="30"/>
        </w:rPr>
        <w:t>进一步夯实租购并举的住房制度，培育租赁市场主体，扩大租赁住房供给规模，加强租赁市场规范化管理，优化住房供应结构，促进房地产市场平稳健康发展。增加公租房、共有产权住房、限价房等保障性住房供给，满足居民基本住房需求。继续实施低收入保障对象租赁补贴制度，逐步将城镇稳定就业的农民工纳入住房公积金制度实施范围，实现农民工住房保障制度化。完善土地出让收入分配机制，探索支持利用集体建设用地按照规划建设租赁住房。进一步推广人才公寓、蓝领公寓等模式，完善人才住房保障供给。</w:t>
      </w:r>
    </w:p>
    <w:p>
      <w:pPr>
        <w:spacing w:line="560" w:lineRule="exact"/>
        <w:ind w:firstLine="602" w:firstLineChars="200"/>
        <w:rPr>
          <w:rFonts w:ascii="Times New Roman" w:hAnsi="Times New Roman" w:eastAsia="仿宋_GB2312" w:cs="仿宋_GB2312"/>
          <w:sz w:val="30"/>
          <w:szCs w:val="30"/>
        </w:rPr>
      </w:pPr>
      <w:r>
        <w:rPr>
          <w:rFonts w:hint="eastAsia" w:ascii="Times New Roman" w:hAnsi="Times New Roman" w:eastAsia="仿宋_GB2312" w:cs="仿宋_GB2312"/>
          <w:b/>
          <w:sz w:val="30"/>
          <w:szCs w:val="30"/>
        </w:rPr>
        <w:t>促进城镇建设管理高水平。</w:t>
      </w:r>
      <w:r>
        <w:rPr>
          <w:rFonts w:hint="eastAsia" w:ascii="Times New Roman" w:hAnsi="Times New Roman" w:eastAsia="仿宋_GB2312" w:cs="仿宋_GB2312"/>
          <w:sz w:val="30"/>
          <w:szCs w:val="30"/>
        </w:rPr>
        <w:t>严格划定城市发展边界，提高城市土地利用效率，加强城市生态修复和景观建设，建立人与自然和谐的生态城市。强化城市历史建筑保护，保留城市记忆。增强城市防洪排涝能力，建设海绵城市、韧性城市。鼓励社会资本参与城市建设与运营，持续完善政府投入公共资源产权与社会资本共同开发模式，筛选优质项目并建立吸引民间投资项目库。</w:t>
      </w:r>
    </w:p>
    <w:p>
      <w:pPr>
        <w:spacing w:line="560" w:lineRule="exact"/>
        <w:ind w:firstLine="602" w:firstLineChars="200"/>
        <w:rPr>
          <w:rFonts w:ascii="Times New Roman" w:hAnsi="Times New Roman" w:eastAsia="仿宋_GB2312" w:cs="仿宋_GB2312"/>
          <w:sz w:val="30"/>
          <w:szCs w:val="30"/>
        </w:rPr>
      </w:pPr>
      <w:r>
        <w:rPr>
          <w:rFonts w:hint="eastAsia" w:ascii="Times New Roman" w:hAnsi="Times New Roman" w:eastAsia="仿宋_GB2312" w:cs="仿宋_GB2312"/>
          <w:b/>
          <w:bCs/>
          <w:sz w:val="30"/>
          <w:szCs w:val="30"/>
        </w:rPr>
        <w:t>优化乡镇基层财政体制。</w:t>
      </w:r>
      <w:r>
        <w:rPr>
          <w:rFonts w:hint="eastAsia" w:ascii="Times New Roman" w:hAnsi="Times New Roman" w:eastAsia="仿宋_GB2312" w:cs="仿宋_GB2312"/>
          <w:sz w:val="30"/>
          <w:szCs w:val="30"/>
        </w:rPr>
        <w:t>完善基层财权与事权划分机制，提升基层财权与事权匹配度，优化基层投入城市建设管理的能力水平。完善预算管理机制，提升乡镇基层年初预算编制科学性、准确性，建立年初预算、年中调整、年底评估机制。加强基层财政监督机制，增强</w:t>
      </w:r>
      <w:r>
        <w:rPr>
          <w:rFonts w:hint="eastAsia" w:ascii="Times New Roman" w:hAnsi="Times New Roman" w:eastAsia="仿宋_GB2312" w:cs="仿宋_GB2312"/>
          <w:sz w:val="30"/>
          <w:szCs w:val="30"/>
          <w:lang w:eastAsia="zh-CN"/>
        </w:rPr>
        <w:t>乡</w:t>
      </w:r>
      <w:r>
        <w:rPr>
          <w:rFonts w:hint="eastAsia" w:ascii="Times New Roman" w:hAnsi="Times New Roman" w:eastAsia="仿宋_GB2312" w:cs="仿宋_GB2312"/>
          <w:sz w:val="30"/>
          <w:szCs w:val="30"/>
        </w:rPr>
        <w:t>镇人大及纪委的财务监督作用，建立乡镇账务监督系统，及时发现问题整改问题。</w:t>
      </w:r>
    </w:p>
    <w:p>
      <w:pPr>
        <w:spacing w:line="560" w:lineRule="exact"/>
        <w:ind w:firstLine="600" w:firstLineChars="200"/>
        <w:rPr>
          <w:rFonts w:ascii="Times New Roman" w:hAnsi="Times New Roman" w:eastAsia="仿宋_GB2312" w:cs="仿宋_GB2312"/>
          <w:sz w:val="30"/>
          <w:szCs w:val="30"/>
        </w:rPr>
        <w:sectPr>
          <w:pgSz w:w="11906" w:h="16838"/>
          <w:pgMar w:top="1440" w:right="1800" w:bottom="1440" w:left="1800" w:header="851" w:footer="992" w:gutter="0"/>
          <w:cols w:space="425" w:num="1"/>
          <w:docGrid w:type="lines" w:linePitch="312" w:charSpace="0"/>
        </w:sectPr>
      </w:pPr>
    </w:p>
    <w:p>
      <w:pPr>
        <w:spacing w:before="156" w:beforeLines="50" w:after="156" w:afterLines="50"/>
        <w:ind w:firstLine="640" w:firstLineChars="200"/>
        <w:outlineLvl w:val="0"/>
        <w:rPr>
          <w:rFonts w:ascii="Times New Roman" w:hAnsi="Times New Roman" w:eastAsia="黑体" w:cs="Times New Roman"/>
          <w:sz w:val="32"/>
          <w:szCs w:val="32"/>
        </w:rPr>
      </w:pPr>
      <w:bookmarkStart w:id="85" w:name="_Toc59921196"/>
      <w:bookmarkStart w:id="86" w:name="_Toc65060528"/>
      <w:r>
        <w:rPr>
          <w:rFonts w:hint="eastAsia" w:ascii="Times New Roman" w:hAnsi="Times New Roman" w:eastAsia="黑体" w:cs="Times New Roman"/>
          <w:sz w:val="32"/>
          <w:szCs w:val="32"/>
        </w:rPr>
        <w:t>七、</w:t>
      </w:r>
      <w:bookmarkStart w:id="87" w:name="_Hlk59016805"/>
      <w:r>
        <w:rPr>
          <w:rFonts w:hint="eastAsia" w:ascii="Times New Roman" w:hAnsi="Times New Roman" w:eastAsia="黑体" w:cs="Times New Roman"/>
          <w:sz w:val="32"/>
          <w:szCs w:val="32"/>
        </w:rPr>
        <w:t>全面推进乡村振兴，构建农业农村发展新面貌</w:t>
      </w:r>
      <w:bookmarkEnd w:id="85"/>
      <w:bookmarkEnd w:id="86"/>
      <w:bookmarkEnd w:id="87"/>
    </w:p>
    <w:p>
      <w:pPr>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全面实施乡村振兴战略，以乡村特质化发展为方向，以民生改善为目的，深入推进城乡一体化发展，大力发展现代都市农业，壮大新农企，育强新农民，打造新时代美丽乡村建设示范，建设全省乡村振兴先行区。</w:t>
      </w:r>
    </w:p>
    <w:p>
      <w:pPr>
        <w:spacing w:before="120" w:after="120" w:line="560" w:lineRule="exact"/>
        <w:ind w:firstLine="640" w:firstLineChars="200"/>
        <w:outlineLvl w:val="1"/>
        <w:rPr>
          <w:rFonts w:ascii="Times New Roman" w:hAnsi="Times New Roman" w:eastAsia="楷体" w:cstheme="majorBidi"/>
          <w:sz w:val="32"/>
          <w:szCs w:val="32"/>
        </w:rPr>
      </w:pPr>
      <w:bookmarkStart w:id="88" w:name="_Toc65060529"/>
      <w:bookmarkStart w:id="89" w:name="_Toc59921197"/>
      <w:r>
        <w:rPr>
          <w:rFonts w:hint="eastAsia" w:ascii="Times New Roman" w:hAnsi="Times New Roman" w:eastAsia="楷体" w:cstheme="majorBidi"/>
          <w:sz w:val="32"/>
          <w:szCs w:val="32"/>
        </w:rPr>
        <w:t>（一）巩固拓展脱贫攻坚成果</w:t>
      </w:r>
      <w:bookmarkEnd w:id="88"/>
    </w:p>
    <w:p>
      <w:pPr>
        <w:snapToGrid w:val="0"/>
        <w:spacing w:line="560" w:lineRule="exact"/>
        <w:ind w:firstLine="573"/>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保持政策总体稳定，投入力度不减、帮扶队伍不撤。健全防止返贫监测帮扶机制，加强对脱贫村、脱贫人口开展监测，对脱贫不稳定户和边缘易致贫户及时发现、及时帮扶，动态清零。加大对非贫困村基础设施、公共服务设施、产业发展的资金投入，补齐非贫困村发展的短板弱项。持续发展壮大扶贫产业，继续围绕“</w:t>
      </w:r>
      <w:r>
        <w:rPr>
          <w:rFonts w:ascii="Times New Roman" w:hAnsi="Times New Roman" w:eastAsia="仿宋_GB2312" w:cs="Times New Roman"/>
          <w:sz w:val="30"/>
          <w:szCs w:val="30"/>
        </w:rPr>
        <w:t>5+2</w:t>
      </w:r>
      <w:r>
        <w:rPr>
          <w:rFonts w:hint="eastAsia" w:ascii="Times New Roman" w:hAnsi="Times New Roman" w:eastAsia="仿宋_GB2312" w:cs="Times New Roman"/>
          <w:sz w:val="30"/>
          <w:szCs w:val="30"/>
        </w:rPr>
        <w:t>”产业发展体系，谋划一批重点项目，促进特色产业做大做强。持续做好脱贫人口稳岗就业，加大对脱贫人口职业技能培训力度，规范管理公益岗位，促进弱劳力、半劳力等家庭就近就地就业。加强资金资产项目管理，建立健全资产管理制度，持续发挥效益。“十四五”时期计划实施项目</w:t>
      </w:r>
      <w:r>
        <w:rPr>
          <w:rFonts w:ascii="Times New Roman" w:hAnsi="Times New Roman" w:eastAsia="仿宋_GB2312" w:cs="Times New Roman"/>
          <w:sz w:val="30"/>
          <w:szCs w:val="30"/>
        </w:rPr>
        <w:t>1530</w:t>
      </w:r>
      <w:r>
        <w:rPr>
          <w:rFonts w:hint="eastAsia" w:ascii="Times New Roman" w:hAnsi="Times New Roman" w:eastAsia="仿宋_GB2312" w:cs="Times New Roman"/>
          <w:sz w:val="30"/>
          <w:szCs w:val="30"/>
        </w:rPr>
        <w:t>个，安排资金</w:t>
      </w:r>
      <w:r>
        <w:rPr>
          <w:rFonts w:ascii="Times New Roman" w:hAnsi="Times New Roman" w:eastAsia="仿宋_GB2312" w:cs="Times New Roman"/>
          <w:sz w:val="30"/>
          <w:szCs w:val="30"/>
        </w:rPr>
        <w:t>33</w:t>
      </w:r>
      <w:r>
        <w:rPr>
          <w:rFonts w:hint="eastAsia" w:ascii="Times New Roman" w:hAnsi="Times New Roman" w:eastAsia="仿宋_GB2312" w:cs="Times New Roman"/>
          <w:sz w:val="30"/>
          <w:szCs w:val="30"/>
        </w:rPr>
        <w:t>亿元。接续推进乡村振兴全面衔接，积极谋划巩固拓展脱贫攻坚成果同乡村振兴目标衔接、规划衔接、政策衔接、力量衔接、责任衔接的政策措施，大力推进全面脱贫与乡村振兴有效衔接。</w:t>
      </w:r>
    </w:p>
    <w:p>
      <w:pPr>
        <w:spacing w:before="120" w:after="120" w:line="560" w:lineRule="exact"/>
        <w:ind w:firstLine="640" w:firstLineChars="200"/>
        <w:outlineLvl w:val="1"/>
        <w:rPr>
          <w:rFonts w:ascii="Times New Roman" w:hAnsi="Times New Roman" w:eastAsia="楷体" w:cstheme="majorBidi"/>
          <w:sz w:val="32"/>
          <w:szCs w:val="32"/>
        </w:rPr>
      </w:pPr>
      <w:bookmarkStart w:id="90" w:name="_Toc65060530"/>
      <w:r>
        <w:rPr>
          <w:rFonts w:hint="eastAsia" w:ascii="Times New Roman" w:hAnsi="Times New Roman" w:eastAsia="楷体" w:cstheme="majorBidi"/>
          <w:sz w:val="32"/>
          <w:szCs w:val="32"/>
        </w:rPr>
        <w:t>（二）培育现代化乡村产业体系</w:t>
      </w:r>
      <w:bookmarkEnd w:id="89"/>
      <w:bookmarkEnd w:id="90"/>
    </w:p>
    <w:p>
      <w:pPr>
        <w:snapToGrid w:val="0"/>
        <w:spacing w:line="560" w:lineRule="exact"/>
        <w:ind w:firstLine="573"/>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积极发展现代化农业。</w:t>
      </w:r>
      <w:r>
        <w:rPr>
          <w:rFonts w:hint="eastAsia" w:ascii="Times New Roman" w:hAnsi="Times New Roman" w:eastAsia="仿宋_GB2312" w:cs="Times New Roman"/>
          <w:sz w:val="30"/>
          <w:szCs w:val="30"/>
        </w:rPr>
        <w:t>坚持以“四优四化”为重点，推动高效种养业和绿色食品业转型升级，加快调整优化种养结构，持续扩大优质西瓜、食用菌、中药材、红高粱等高效特色优势农业种植规模，大力发展种鸭养殖等特色种养业和农产品加工业，推动布局区域化、经营规范化、生产标准化、发展产业化，加快优势特色农业发展。</w:t>
      </w:r>
    </w:p>
    <w:p>
      <w:pPr>
        <w:snapToGrid w:val="0"/>
        <w:spacing w:line="560" w:lineRule="exact"/>
        <w:ind w:firstLine="573"/>
        <w:rPr>
          <w:rFonts w:ascii="Times New Roman" w:hAnsi="Times New Roman" w:eastAsia="仿宋_GB2312" w:cs="Times New Roman"/>
          <w:sz w:val="30"/>
          <w:szCs w:val="30"/>
        </w:rPr>
      </w:pPr>
      <w:r>
        <w:rPr>
          <w:rFonts w:hint="eastAsia" w:ascii="Times New Roman" w:hAnsi="Times New Roman" w:eastAsia="仿宋_GB2312" w:cs="Times New Roman"/>
          <w:b/>
          <w:bCs/>
          <w:sz w:val="30"/>
          <w:szCs w:val="30"/>
        </w:rPr>
        <w:t>打造高能级现代农业产业园</w:t>
      </w:r>
      <w:r>
        <w:rPr>
          <w:rFonts w:hint="eastAsia" w:ascii="Times New Roman" w:hAnsi="Times New Roman" w:eastAsia="仿宋_GB2312" w:cs="Times New Roman"/>
          <w:sz w:val="30"/>
          <w:szCs w:val="30"/>
        </w:rPr>
        <w:t>。依托夏邑农业园区优势，进一步推动农业布局区域化，提升农业发展规模化、标准化和产业化水平。坚持标准引领，在国家级食用菌标准化示范区的基础上，创建国家级西瓜标准化种植示范区。推进省级食用菌西瓜现代农业产业园创建国家级现代农业产业园，推进四个市级现代农业产业园</w:t>
      </w:r>
      <w:r>
        <w:rPr>
          <w:rStyle w:val="21"/>
          <w:rFonts w:ascii="Times New Roman" w:hAnsi="Times New Roman" w:eastAsia="仿宋_GB2312"/>
          <w:sz w:val="30"/>
          <w:szCs w:val="30"/>
        </w:rPr>
        <w:footnoteReference w:id="0"/>
      </w:r>
      <w:r>
        <w:rPr>
          <w:rFonts w:hint="eastAsia" w:ascii="Times New Roman" w:hAnsi="Times New Roman" w:eastAsia="仿宋_GB2312" w:cs="Times New Roman"/>
          <w:sz w:val="30"/>
          <w:szCs w:val="30"/>
        </w:rPr>
        <w:t>创建省级农业产业园，推进北岭镇创建市级、省级温室现代农业产业园和大棚8424西瓜转型升级现代农业产业园。依托国家区域性小麦良种繁育基地、桂柳孵化基地、龙港湾智慧农业等现代农业项目，加快推进园区（基地）提质扩面，提升农业科技成果集成、转化水平。到</w:t>
      </w:r>
      <w:r>
        <w:rPr>
          <w:rFonts w:ascii="Times New Roman" w:hAnsi="Times New Roman" w:eastAsia="仿宋_GB2312" w:cs="Times New Roman"/>
          <w:sz w:val="30"/>
          <w:szCs w:val="30"/>
        </w:rPr>
        <w:t>2025</w:t>
      </w:r>
      <w:r>
        <w:rPr>
          <w:rFonts w:hint="eastAsia" w:ascii="Times New Roman" w:hAnsi="Times New Roman" w:eastAsia="仿宋_GB2312" w:cs="Times New Roman"/>
          <w:sz w:val="30"/>
          <w:szCs w:val="30"/>
        </w:rPr>
        <w:t>年，力争打造</w:t>
      </w: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个国家农业科技园区。</w:t>
      </w:r>
    </w:p>
    <w:p>
      <w:pPr>
        <w:snapToGrid w:val="0"/>
        <w:spacing w:line="560" w:lineRule="exact"/>
        <w:ind w:firstLine="573"/>
        <w:rPr>
          <w:rFonts w:ascii="Times New Roman" w:hAnsi="Times New Roman" w:eastAsia="仿宋_GB2312" w:cs="Times New Roman"/>
          <w:sz w:val="30"/>
          <w:szCs w:val="30"/>
        </w:rPr>
      </w:pPr>
      <w:r>
        <w:rPr>
          <w:rFonts w:hint="eastAsia" w:ascii="Times New Roman" w:hAnsi="Times New Roman" w:eastAsia="仿宋_GB2312" w:cs="Times New Roman"/>
          <w:b/>
          <w:bCs/>
          <w:sz w:val="30"/>
          <w:szCs w:val="30"/>
        </w:rPr>
        <w:t>推动一二三产业融合发展。</w:t>
      </w:r>
      <w:r>
        <w:rPr>
          <w:rFonts w:hint="eastAsia" w:ascii="Times New Roman" w:hAnsi="Times New Roman" w:eastAsia="仿宋_GB2312" w:cs="Times New Roman"/>
          <w:sz w:val="30"/>
          <w:szCs w:val="30"/>
        </w:rPr>
        <w:t>实施一二三产业融合发展行动，加快农产品生产、加工、销售与旅游、健康、文化、信息、体育等产业融合发展，依托西瓜、菌菇、家禽、手工艺品等特色优势，培育发展3个以上一二三产融合发展示范基地。拓展融合发展业态，做强乡村旅游，以西瓜、菌菇等名特优农产品生产为基础，大力发展生态康养、农耕文化、观光农业、创意农业等乡村旅游新业态，发展休闲观光园区、乡村民宿、农耕体验、农事研学、康养基地等，建设一批乡村旅游精品线路，打造夏邑特色乡村旅游品牌。突出节庆带动，打好特色民俗活动“组合牌”，通过举办“丰收节”、“西瓜节”、“菌菇会”、“解鸭（压）日”等特色主题节庆活动，提升夏邑农产品品牌，丰富农家乐休闲旅游体验；实施农村电子商务增效行动，着力推进优质农产品电商物流配送和公共仓储等服务网络建设。发挥淘宝村示范带动作用，推动农村电商集聚发展，继续开展农村电商助力乡村振兴活动。</w:t>
      </w:r>
    </w:p>
    <w:p>
      <w:pPr>
        <w:snapToGrid w:val="0"/>
        <w:spacing w:line="560" w:lineRule="exact"/>
        <w:ind w:firstLine="573"/>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实施农业品牌振兴计划。</w:t>
      </w:r>
      <w:r>
        <w:rPr>
          <w:rFonts w:hint="eastAsia" w:ascii="Times New Roman" w:hAnsi="Times New Roman" w:eastAsia="仿宋_GB2312" w:cs="Times New Roman"/>
          <w:sz w:val="30"/>
          <w:szCs w:val="30"/>
        </w:rPr>
        <w:t>全面推进国家级农产品质量安全县、全国绿色食品原料（小麦）基地县创建，完善农产品质量安全监测监管体系，加快推进农产品检测检验机构实现双认证，提升乡镇农产品质量安全监管站监管能力。大力推进品牌强农，进一步做强白菜、何首乌、西瓜三大国家地理标志性产品品牌，拓展提升更多高品质、有口碑的夏邑农业“金字招牌”，持续提升夏邑品牌影响力，扩大夏邑农产品知名度。</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加快农业数字化发展。</w:t>
      </w:r>
      <w:r>
        <w:rPr>
          <w:rFonts w:hint="eastAsia" w:ascii="Times New Roman" w:hAnsi="Times New Roman" w:eastAsia="仿宋_GB2312"/>
          <w:sz w:val="30"/>
          <w:szCs w:val="30"/>
        </w:rPr>
        <w:t>大力发展数字农业、智慧农业、精准农业，围绕产业生产管理效能提升和人力成本下降，推动数字技术与种植业、农产品加工业和乡村休闲旅游业等深度融合。建设数字化综合服务平台，畅通农产品流通渠道和产销精准对接，让数字技术更好地运用于农产品市场分析、网络销售、品牌打造和营销手段改善。打造农业大数据中心，推行精准化种植、可视化管理、智能化决策、信息化经营、平台化营销，逐步实现农产品全过程可追溯管理。</w:t>
      </w:r>
    </w:p>
    <w:p>
      <w:pPr>
        <w:spacing w:before="120" w:after="120" w:line="560" w:lineRule="exact"/>
        <w:ind w:firstLine="640" w:firstLineChars="200"/>
        <w:outlineLvl w:val="1"/>
        <w:rPr>
          <w:rFonts w:ascii="Times New Roman" w:hAnsi="Times New Roman" w:eastAsia="楷体" w:cstheme="majorBidi"/>
          <w:sz w:val="32"/>
          <w:szCs w:val="32"/>
        </w:rPr>
      </w:pPr>
      <w:bookmarkStart w:id="91" w:name="_Toc59921198"/>
      <w:bookmarkStart w:id="92" w:name="_Toc65060531"/>
      <w:r>
        <w:rPr>
          <w:rFonts w:hint="eastAsia" w:ascii="Times New Roman" w:hAnsi="Times New Roman" w:eastAsia="楷体" w:cstheme="majorBidi"/>
          <w:sz w:val="32"/>
          <w:szCs w:val="32"/>
        </w:rPr>
        <w:t>（三）打造新时代美丽乡村建设示范</w:t>
      </w:r>
      <w:bookmarkEnd w:id="91"/>
      <w:bookmarkEnd w:id="92"/>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推动乡村特色化差异化发展。</w:t>
      </w:r>
      <w:r>
        <w:rPr>
          <w:rFonts w:hint="eastAsia" w:ascii="Times New Roman" w:hAnsi="Times New Roman" w:eastAsia="仿宋_GB2312"/>
          <w:sz w:val="30"/>
          <w:szCs w:val="30"/>
        </w:rPr>
        <w:t>以创建新时代美丽乡村、特色精品村、村庄景区化为抓手，实施村庄硬化、绿化、美化、亮化、文化工程，保护传统村落和乡村风貌，深入挖掘村庄个性特色，建设一批乡村田园游、红色文化游、文化民俗游、生态休闲游、康养快乐游等多姿态的乡村特色品牌。推动集聚提升型村庄大力发展特色农业、工贸、休闲旅游等产业，完善公共服务功能，增强示范带动效应。</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推进乡村风貌整治。</w:t>
      </w:r>
      <w:r>
        <w:rPr>
          <w:rFonts w:hint="eastAsia" w:ascii="Times New Roman" w:hAnsi="Times New Roman" w:eastAsia="仿宋_GB2312"/>
          <w:sz w:val="30"/>
          <w:szCs w:val="30"/>
        </w:rPr>
        <w:t>持续开展“四美乡村”、“五美庭院”创建活动，实施村庄硬化、绿化、美化、亮化、文化工程。遵照规划先行原则，</w:t>
      </w:r>
      <w:r>
        <w:rPr>
          <w:rFonts w:hint="eastAsia" w:ascii="Times New Roman" w:hAnsi="Times New Roman" w:eastAsia="仿宋_GB2312"/>
          <w:bCs/>
          <w:sz w:val="30"/>
          <w:szCs w:val="30"/>
        </w:rPr>
        <w:t>深入实施“千村示范万村整治”、“百镇千村规划”工程，编制长远性、实用性乡村规划</w:t>
      </w:r>
      <w:r>
        <w:rPr>
          <w:rFonts w:hint="eastAsia" w:ascii="Times New Roman" w:hAnsi="Times New Roman" w:eastAsia="仿宋_GB2312"/>
          <w:sz w:val="30"/>
          <w:szCs w:val="30"/>
        </w:rPr>
        <w:t>。按照城郊融合类、拓展提升类、特色保护类、整治改善类、搬迁撤并类，分类推进村庄基础设施、公共服务建设，优化村庄功能布局，充分利用社会资金，高标准设计，高质量建造特色鲜明、宜居宜业、富有活力的特色小镇和美丽村庄，按照环境综合整治工作标准，建立长效机制，做到常态化管护。</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强化乡村文化传承。</w:t>
      </w:r>
      <w:r>
        <w:rPr>
          <w:rFonts w:hint="eastAsia" w:ascii="Times New Roman" w:hAnsi="Times New Roman" w:eastAsia="仿宋_GB2312"/>
          <w:bCs/>
          <w:sz w:val="30"/>
          <w:szCs w:val="30"/>
        </w:rPr>
        <w:t>以马头魏庄传统村落等为重点，</w:t>
      </w:r>
      <w:r>
        <w:rPr>
          <w:rFonts w:hint="eastAsia" w:ascii="Times New Roman" w:hAnsi="Times New Roman" w:eastAsia="仿宋_GB2312"/>
          <w:sz w:val="30"/>
          <w:szCs w:val="30"/>
        </w:rPr>
        <w:t>推动历史文化名村、传统村落的整体性保护。加强优秀农耕文化资源的保护和开发利用，推动一批“百工百匠”乡村传统手工业振兴，加快马头清凉山遗址公园建设，加强乡村非物质文化遗产的活态传承，促进文化生态的整体性保护。完善乡村文化服务设施网络和服务运行机制，提升农村文化礼堂建设水平。</w:t>
      </w:r>
    </w:p>
    <w:p>
      <w:pPr>
        <w:spacing w:before="120" w:after="120" w:line="560" w:lineRule="exact"/>
        <w:ind w:firstLine="640" w:firstLineChars="200"/>
        <w:outlineLvl w:val="1"/>
        <w:rPr>
          <w:rFonts w:ascii="Times New Roman" w:hAnsi="Times New Roman" w:eastAsia="楷体" w:cstheme="majorBidi"/>
          <w:sz w:val="32"/>
          <w:szCs w:val="32"/>
        </w:rPr>
      </w:pPr>
      <w:bookmarkStart w:id="93" w:name="_Toc65060532"/>
      <w:bookmarkStart w:id="94" w:name="_Toc59921199"/>
      <w:r>
        <w:rPr>
          <w:rFonts w:hint="eastAsia" w:ascii="Times New Roman" w:hAnsi="Times New Roman" w:eastAsia="楷体" w:cstheme="majorBidi"/>
          <w:sz w:val="32"/>
          <w:szCs w:val="32"/>
        </w:rPr>
        <w:t>（四）深入推动农村改革升级</w:t>
      </w:r>
      <w:bookmarkEnd w:id="93"/>
      <w:bookmarkEnd w:id="94"/>
    </w:p>
    <w:p>
      <w:pPr>
        <w:spacing w:line="560" w:lineRule="exact"/>
        <w:ind w:firstLine="602" w:firstLineChars="200"/>
        <w:rPr>
          <w:rFonts w:ascii="Times New Roman" w:hAnsi="Times New Roman" w:eastAsia="仿宋_GB2312"/>
          <w:b/>
          <w:sz w:val="30"/>
          <w:szCs w:val="30"/>
        </w:rPr>
      </w:pPr>
      <w:r>
        <w:rPr>
          <w:rFonts w:hint="eastAsia" w:ascii="Times New Roman" w:hAnsi="Times New Roman" w:eastAsia="仿宋_GB2312"/>
          <w:b/>
          <w:sz w:val="30"/>
          <w:szCs w:val="30"/>
        </w:rPr>
        <w:t>完善农业经营体系。</w:t>
      </w:r>
      <w:r>
        <w:rPr>
          <w:rFonts w:hint="eastAsia" w:ascii="Times New Roman" w:hAnsi="Times New Roman" w:eastAsia="仿宋_GB2312"/>
          <w:sz w:val="30"/>
          <w:szCs w:val="30"/>
        </w:rPr>
        <w:t>落实第二轮土地承包到期后再延长三十年政策，加快培育农民合作社、家庭农场等新型农业经营主体，健全农业专业化社会化服务体系，发展多种形式适度规模经营，实现小农户和现代农业有机衔接。持续推进供销合作社综合改革，进一步扩大生产、供销、信用“三位一体”综合合作覆盖面，建立健全支持供销合作社发展的政策体系和管理制度，完善体制机制，拓展为农服务领域，加快成为服务农民生产生活的平台。</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深化土地制度改革。</w:t>
      </w:r>
      <w:r>
        <w:rPr>
          <w:rFonts w:hint="eastAsia" w:ascii="Times New Roman" w:hAnsi="Times New Roman" w:eastAsia="仿宋_GB2312"/>
          <w:bCs/>
          <w:sz w:val="30"/>
          <w:szCs w:val="30"/>
        </w:rPr>
        <w:t>在保障农村住房需求基础上，推进“一户一宅”农村宅基地和房屋确权登记颁证，妥善解决宅基地历史遗留问题。落实第二轮土地承包到期后再延长三十年政策，丰富集体所有权、农户承包权、土地经营权有效实现形式，发展多种形式适度规模经营。健全城乡统一的建设用地市场，积极推进农村集体经营性建设用地入市制度。探索宅基地所有权、资格权、使用权分置实现形式，盘活利用闲置宅基地和闲置农房。保障进城落户农民土地承包权、宅基地使用权、集体收益分配权，鼓励依法自愿有偿转让。深化农村集体产权制度改革，巩固提升村级集体经济，完善农村产权流转交易市场体系，发展新型农村合作经济。深化财政支农体制机制改革。</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推动城乡要素流动。</w:t>
      </w:r>
      <w:r>
        <w:rPr>
          <w:rFonts w:hint="eastAsia" w:ascii="Times New Roman" w:hAnsi="Times New Roman" w:eastAsia="仿宋_GB2312"/>
          <w:sz w:val="30"/>
          <w:szCs w:val="30"/>
        </w:rPr>
        <w:t>健全城乡融合发展机制，推动城乡要素平等交换、双向流动，增强农业农村发展活力。深化人才引培工程，强化农民教育培训，筹建豫东农民职业教育学院（乡村振兴学院），推动乡村人才振兴。加大公共财政支农倾斜，加强金融机构惠农力度，拓宽乡村发展融资渠道，为乡村振兴提供多元资金保障。建立健全城乡基本公共服务均等化的体制机制，推动公共服务向农村延伸、社会事业向农村覆盖。</w:t>
      </w:r>
    </w:p>
    <w:tbl>
      <w:tblPr>
        <w:tblStyle w:val="15"/>
        <w:tblW w:w="0" w:type="auto"/>
        <w:tblInd w:w="0" w:type="dxa"/>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c>
          <w:tcPr>
            <w:tcW w:w="8522" w:type="dxa"/>
          </w:tcPr>
          <w:p>
            <w:pPr>
              <w:snapToGrid w:val="0"/>
              <w:jc w:val="center"/>
              <w:rPr>
                <w:rFonts w:ascii="Times New Roman" w:hAnsi="Times New Roman" w:eastAsia="楷体" w:cs="Times New Roman"/>
                <w:sz w:val="28"/>
                <w:szCs w:val="32"/>
              </w:rPr>
            </w:pPr>
            <w:bookmarkStart w:id="95" w:name="_Hlk59979487"/>
            <w:r>
              <w:rPr>
                <w:rFonts w:hint="eastAsia" w:ascii="Times New Roman" w:hAnsi="Times New Roman" w:eastAsia="楷体" w:cs="Times New Roman"/>
                <w:sz w:val="28"/>
                <w:szCs w:val="32"/>
              </w:rPr>
              <w:t>专栏八</w:t>
            </w:r>
            <w:r>
              <w:rPr>
                <w:rFonts w:ascii="Times New Roman" w:hAnsi="Times New Roman" w:eastAsia="楷体" w:cs="Times New Roman"/>
                <w:sz w:val="28"/>
                <w:szCs w:val="32"/>
              </w:rPr>
              <w:t xml:space="preserve">  </w:t>
            </w:r>
            <w:bookmarkStart w:id="96" w:name="_Hlk59994643"/>
            <w:r>
              <w:rPr>
                <w:rFonts w:hint="eastAsia" w:ascii="Times New Roman" w:hAnsi="Times New Roman" w:eastAsia="楷体" w:cs="Times New Roman"/>
                <w:sz w:val="28"/>
                <w:szCs w:val="32"/>
              </w:rPr>
              <w:t>“美丽乡村”建设工程</w:t>
            </w:r>
            <w:bookmarkEnd w:id="96"/>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c>
          <w:tcPr>
            <w:tcW w:w="8522" w:type="dxa"/>
          </w:tcPr>
          <w:p>
            <w:pPr>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sz w:val="24"/>
                <w:szCs w:val="24"/>
              </w:rPr>
              <w:t>粮食安全和重要农产品供给保障行动。</w:t>
            </w:r>
            <w:r>
              <w:rPr>
                <w:rFonts w:hint="eastAsia" w:ascii="Times New Roman" w:hAnsi="Times New Roman" w:eastAsia="仿宋_GB2312" w:cs="Times New Roman"/>
                <w:bCs/>
                <w:sz w:val="24"/>
                <w:szCs w:val="24"/>
              </w:rPr>
              <w:t>实施新一轮高标准农田建设规划，加强</w:t>
            </w:r>
            <w:r>
              <w:rPr>
                <w:rFonts w:ascii="Times New Roman" w:hAnsi="Times New Roman" w:eastAsia="仿宋_GB2312" w:cs="Times New Roman"/>
                <w:bCs/>
                <w:sz w:val="24"/>
                <w:szCs w:val="24"/>
              </w:rPr>
              <w:t>121</w:t>
            </w:r>
            <w:r>
              <w:rPr>
                <w:rFonts w:hint="eastAsia" w:ascii="Times New Roman" w:hAnsi="Times New Roman" w:eastAsia="仿宋_GB2312" w:cs="Times New Roman"/>
                <w:bCs/>
                <w:sz w:val="24"/>
                <w:szCs w:val="24"/>
              </w:rPr>
              <w:t>万亩粮食生产功能区和</w:t>
            </w:r>
            <w:r>
              <w:rPr>
                <w:rFonts w:ascii="Times New Roman" w:hAnsi="Times New Roman" w:eastAsia="仿宋_GB2312" w:cs="Times New Roman"/>
                <w:bCs/>
                <w:sz w:val="24"/>
                <w:szCs w:val="24"/>
              </w:rPr>
              <w:t>6</w:t>
            </w:r>
            <w:r>
              <w:rPr>
                <w:rFonts w:hint="eastAsia" w:ascii="Times New Roman" w:hAnsi="Times New Roman" w:eastAsia="仿宋_GB2312" w:cs="Times New Roman"/>
                <w:bCs/>
                <w:sz w:val="24"/>
                <w:szCs w:val="24"/>
              </w:rPr>
              <w:t>万亩重要农产品保护区建设；实施现代种业提升建设工程，推进国家区域性小麦良种繁育基地建设，“十四五”期间，新建高标准农田26万亩，提升高标准农田25万亩，建设小麦良种繁育基地</w:t>
            </w:r>
            <w:r>
              <w:rPr>
                <w:rFonts w:ascii="Times New Roman" w:hAnsi="Times New Roman" w:eastAsia="仿宋_GB2312" w:cs="Times New Roman"/>
                <w:bCs/>
                <w:sz w:val="24"/>
                <w:szCs w:val="24"/>
              </w:rPr>
              <w:t>30</w:t>
            </w:r>
            <w:r>
              <w:rPr>
                <w:rFonts w:hint="eastAsia" w:ascii="Times New Roman" w:hAnsi="Times New Roman" w:eastAsia="仿宋_GB2312" w:cs="Times New Roman"/>
                <w:bCs/>
                <w:sz w:val="24"/>
                <w:szCs w:val="24"/>
              </w:rPr>
              <w:t>万亩。</w:t>
            </w:r>
          </w:p>
          <w:p>
            <w:pPr>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sz w:val="24"/>
                <w:szCs w:val="24"/>
              </w:rPr>
              <w:t>现代农业产业园建设行动。</w:t>
            </w:r>
            <w:r>
              <w:rPr>
                <w:rFonts w:hint="eastAsia" w:ascii="Times New Roman" w:hAnsi="Times New Roman" w:eastAsia="仿宋_GB2312" w:cs="Times New Roman"/>
                <w:bCs/>
                <w:sz w:val="24"/>
                <w:szCs w:val="24"/>
              </w:rPr>
              <w:t>推进省级食用菌西瓜现代农业产业园和三个市级现代农业产业园建设（太平镇市级果蔬现代农业产业园、郭店镇市级桂柳鸭现代农业产业园和罗庄镇市级优质高粱现代农业产业园），着力构建现代农业产业园体系。重点抓好桂柳孵化基地、龙港湾智慧农业等现代农业项目建设。</w:t>
            </w:r>
          </w:p>
          <w:p>
            <w:pPr>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sz w:val="24"/>
                <w:szCs w:val="24"/>
              </w:rPr>
              <w:t>农业品牌振兴行动。</w:t>
            </w:r>
            <w:r>
              <w:rPr>
                <w:rFonts w:hint="eastAsia" w:ascii="Times New Roman" w:hAnsi="Times New Roman" w:eastAsia="仿宋_GB2312" w:cs="Times New Roman"/>
                <w:bCs/>
                <w:sz w:val="24"/>
                <w:szCs w:val="24"/>
              </w:rPr>
              <w:t>大力推进品牌强农，塑造一批国家级农业品牌，打造更多高品质、有口碑的夏邑农业“金字招牌”。继续办好西瓜文化节、中国农民丰收节等活动，持续提升夏邑品牌影响力，扩大夏邑农产品知名度。</w:t>
            </w:r>
          </w:p>
          <w:p>
            <w:pPr>
              <w:ind w:firstLine="482" w:firstLineChars="200"/>
              <w:rPr>
                <w:rFonts w:ascii="Times New Roman" w:hAnsi="Times New Roman" w:eastAsia="仿宋_GB2312" w:cs="Times New Roman"/>
                <w:bCs/>
                <w:color w:val="000000" w:themeColor="text1"/>
                <w:sz w:val="24"/>
                <w:szCs w:val="24"/>
                <w:u w:val="single"/>
                <w14:textFill>
                  <w14:solidFill>
                    <w14:schemeClr w14:val="tx1"/>
                  </w14:solidFill>
                </w14:textFill>
              </w:rPr>
            </w:pPr>
            <w:r>
              <w:rPr>
                <w:rFonts w:hint="eastAsia" w:ascii="Times New Roman" w:hAnsi="Times New Roman" w:eastAsia="仿宋_GB2312" w:cs="Times New Roman"/>
                <w:b/>
                <w:sz w:val="24"/>
                <w:szCs w:val="24"/>
              </w:rPr>
              <w:t>农村人居环境整治行动。</w:t>
            </w:r>
            <w:r>
              <w:rPr>
                <w:rFonts w:hint="eastAsia" w:ascii="Times New Roman" w:hAnsi="Times New Roman" w:eastAsia="仿宋_GB2312" w:cs="Times New Roman"/>
                <w:bCs/>
                <w:sz w:val="24"/>
                <w:szCs w:val="24"/>
              </w:rPr>
              <w:t>以“一拆三清一改”为重点，持续推进村庄清洁行动，全面推广农村垃圾治理，做好曹集乡、</w:t>
            </w:r>
            <w:r>
              <w:rPr>
                <w:rFonts w:hint="eastAsia" w:ascii="仿宋" w:hAnsi="仿宋" w:eastAsia="仿宋" w:cs="Times New Roman"/>
                <w:bCs/>
                <w:sz w:val="24"/>
                <w:szCs w:val="24"/>
              </w:rPr>
              <w:t>桑堌乡等乡镇垃圾分类试点，到2</w:t>
            </w:r>
            <w:r>
              <w:rPr>
                <w:rFonts w:ascii="仿宋" w:hAnsi="仿宋" w:eastAsia="仿宋" w:cs="Times New Roman"/>
                <w:bCs/>
                <w:sz w:val="24"/>
                <w:szCs w:val="24"/>
              </w:rPr>
              <w:t>025</w:t>
            </w:r>
            <w:r>
              <w:rPr>
                <w:rFonts w:hint="eastAsia" w:ascii="仿宋" w:hAnsi="仿宋" w:eastAsia="仿宋" w:cs="Times New Roman"/>
                <w:bCs/>
                <w:sz w:val="24"/>
                <w:szCs w:val="24"/>
              </w:rPr>
              <w:t>年全县农村垃圾分类处理率实现全覆盖；深入</w:t>
            </w:r>
            <w:r>
              <w:rPr>
                <w:rFonts w:hint="eastAsia" w:ascii="Times New Roman" w:hAnsi="Times New Roman" w:eastAsia="仿宋_GB2312" w:cs="Times New Roman"/>
                <w:bCs/>
                <w:sz w:val="24"/>
                <w:szCs w:val="24"/>
              </w:rPr>
              <w:t>实施推进“厕所革命”，</w:t>
            </w:r>
            <w:r>
              <w:rPr>
                <w:rFonts w:hint="eastAsia" w:ascii="Times New Roman" w:hAnsi="Times New Roman" w:eastAsia="仿宋_GB2312" w:cs="Times New Roman"/>
                <w:bCs/>
                <w:color w:val="000000" w:themeColor="text1"/>
                <w:sz w:val="24"/>
                <w:szCs w:val="24"/>
                <w:u w:val="single"/>
                <w14:textFill>
                  <w14:solidFill>
                    <w14:schemeClr w14:val="tx1"/>
                  </w14:solidFill>
                </w14:textFill>
              </w:rPr>
              <w:t>到</w:t>
            </w:r>
            <w:r>
              <w:rPr>
                <w:rFonts w:ascii="Times New Roman" w:hAnsi="Times New Roman" w:eastAsia="仿宋_GB2312" w:cs="Times New Roman"/>
                <w:bCs/>
                <w:color w:val="000000" w:themeColor="text1"/>
                <w:sz w:val="24"/>
                <w:szCs w:val="24"/>
                <w:u w:val="single"/>
                <w14:textFill>
                  <w14:solidFill>
                    <w14:schemeClr w14:val="tx1"/>
                  </w14:solidFill>
                </w14:textFill>
              </w:rPr>
              <w:t>2025</w:t>
            </w:r>
            <w:r>
              <w:rPr>
                <w:rFonts w:hint="eastAsia" w:ascii="Times New Roman" w:hAnsi="Times New Roman" w:eastAsia="仿宋_GB2312" w:cs="Times New Roman"/>
                <w:bCs/>
                <w:color w:val="000000" w:themeColor="text1"/>
                <w:sz w:val="24"/>
                <w:szCs w:val="24"/>
                <w:u w:val="single"/>
                <w14:textFill>
                  <w14:solidFill>
                    <w14:schemeClr w14:val="tx1"/>
                  </w14:solidFill>
                </w14:textFill>
              </w:rPr>
              <w:t>年，农村改厕率达到8</w:t>
            </w:r>
            <w:r>
              <w:rPr>
                <w:rFonts w:ascii="Times New Roman" w:hAnsi="Times New Roman" w:eastAsia="仿宋_GB2312" w:cs="Times New Roman"/>
                <w:bCs/>
                <w:color w:val="000000" w:themeColor="text1"/>
                <w:sz w:val="24"/>
                <w:szCs w:val="24"/>
                <w:u w:val="single"/>
                <w14:textFill>
                  <w14:solidFill>
                    <w14:schemeClr w14:val="tx1"/>
                  </w14:solidFill>
                </w14:textFill>
              </w:rPr>
              <w:t>5%</w:t>
            </w:r>
            <w:r>
              <w:rPr>
                <w:rFonts w:hint="eastAsia" w:ascii="Times New Roman" w:hAnsi="Times New Roman" w:eastAsia="仿宋_GB2312" w:cs="Times New Roman"/>
                <w:bCs/>
                <w:color w:val="000000" w:themeColor="text1"/>
                <w:sz w:val="24"/>
                <w:szCs w:val="24"/>
                <w:u w:val="single"/>
                <w14:textFill>
                  <w14:solidFill>
                    <w14:schemeClr w14:val="tx1"/>
                  </w14:solidFill>
                </w14:textFill>
              </w:rPr>
              <w:t>；加快梯次推进农村污水处理项目，重点实施一批乡镇政府所在地和规模中心社区污水处理项目，实现农村重点区域污水处理率1</w:t>
            </w:r>
            <w:r>
              <w:rPr>
                <w:rFonts w:ascii="Times New Roman" w:hAnsi="Times New Roman" w:eastAsia="仿宋_GB2312" w:cs="Times New Roman"/>
                <w:bCs/>
                <w:color w:val="000000" w:themeColor="text1"/>
                <w:sz w:val="24"/>
                <w:szCs w:val="24"/>
                <w:u w:val="single"/>
                <w14:textFill>
                  <w14:solidFill>
                    <w14:schemeClr w14:val="tx1"/>
                  </w14:solidFill>
                </w14:textFill>
              </w:rPr>
              <w:t>00</w:t>
            </w:r>
            <w:r>
              <w:rPr>
                <w:rFonts w:hint="eastAsia" w:ascii="Times New Roman" w:hAnsi="Times New Roman" w:eastAsia="仿宋_GB2312" w:cs="Times New Roman"/>
                <w:bCs/>
                <w:color w:val="000000" w:themeColor="text1"/>
                <w:sz w:val="24"/>
                <w:szCs w:val="24"/>
                <w:u w:val="single"/>
                <w14:textFill>
                  <w14:solidFill>
                    <w14:schemeClr w14:val="tx1"/>
                  </w14:solidFill>
                </w14:textFill>
              </w:rPr>
              <w:t>%。</w:t>
            </w:r>
          </w:p>
          <w:p>
            <w:pPr>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color w:val="000000" w:themeColor="text1"/>
                <w:sz w:val="24"/>
                <w:szCs w:val="24"/>
                <w:u w:val="single"/>
                <w14:textFill>
                  <w14:solidFill>
                    <w14:schemeClr w14:val="tx1"/>
                  </w14:solidFill>
                </w14:textFill>
              </w:rPr>
              <w:t>“三农”基础设施建设行动。</w:t>
            </w:r>
            <w:r>
              <w:rPr>
                <w:rFonts w:hint="eastAsia" w:ascii="Times New Roman" w:hAnsi="Times New Roman" w:eastAsia="仿宋_GB2312" w:cs="Times New Roman"/>
                <w:bCs/>
                <w:color w:val="000000" w:themeColor="text1"/>
                <w:sz w:val="24"/>
                <w:szCs w:val="24"/>
                <w14:textFill>
                  <w14:solidFill>
                    <w14:schemeClr w14:val="tx1"/>
                  </w14:solidFill>
                </w14:textFill>
              </w:rPr>
              <w:t>加快推进区域性农产品产地仓储冷链物流设施、村级农产品仓储保险设施等项目，到</w:t>
            </w:r>
            <w:r>
              <w:rPr>
                <w:rFonts w:ascii="Times New Roman" w:hAnsi="Times New Roman" w:eastAsia="仿宋_GB2312" w:cs="Times New Roman"/>
                <w:bCs/>
                <w:color w:val="000000" w:themeColor="text1"/>
                <w:sz w:val="24"/>
                <w:szCs w:val="24"/>
                <w14:textFill>
                  <w14:solidFill>
                    <w14:schemeClr w14:val="tx1"/>
                  </w14:solidFill>
                </w14:textFill>
              </w:rPr>
              <w:t>2025</w:t>
            </w:r>
            <w:r>
              <w:rPr>
                <w:rFonts w:hint="eastAsia" w:ascii="Times New Roman" w:hAnsi="Times New Roman" w:eastAsia="仿宋_GB2312" w:cs="Times New Roman"/>
                <w:bCs/>
                <w:color w:val="000000" w:themeColor="text1"/>
                <w:sz w:val="24"/>
                <w:szCs w:val="24"/>
                <w14:textFill>
                  <w14:solidFill>
                    <w14:schemeClr w14:val="tx1"/>
                  </w14:solidFill>
                </w14:textFill>
              </w:rPr>
              <w:t>年，建成</w:t>
            </w:r>
            <w:r>
              <w:rPr>
                <w:rFonts w:ascii="Times New Roman" w:hAnsi="Times New Roman" w:eastAsia="仿宋_GB2312" w:cs="Times New Roman"/>
                <w:bCs/>
                <w:color w:val="000000" w:themeColor="text1"/>
                <w:sz w:val="24"/>
                <w:szCs w:val="24"/>
                <w14:textFill>
                  <w14:solidFill>
                    <w14:schemeClr w14:val="tx1"/>
                  </w14:solidFill>
                </w14:textFill>
              </w:rPr>
              <w:t>60</w:t>
            </w:r>
            <w:r>
              <w:rPr>
                <w:rFonts w:hint="eastAsia" w:ascii="Times New Roman" w:hAnsi="Times New Roman" w:eastAsia="仿宋_GB2312" w:cs="Times New Roman"/>
                <w:bCs/>
                <w:color w:val="000000" w:themeColor="text1"/>
                <w:sz w:val="24"/>
                <w:szCs w:val="24"/>
                <w14:textFill>
                  <w14:solidFill>
                    <w14:schemeClr w14:val="tx1"/>
                  </w14:solidFill>
                </w14:textFill>
              </w:rPr>
              <w:t>个村级农产品仓储保鲜</w:t>
            </w:r>
            <w:r>
              <w:rPr>
                <w:rFonts w:hint="eastAsia" w:ascii="Times New Roman" w:hAnsi="Times New Roman" w:eastAsia="仿宋_GB2312" w:cs="Times New Roman"/>
                <w:bCs/>
                <w:sz w:val="24"/>
                <w:szCs w:val="24"/>
              </w:rPr>
              <w:t>设施；实施动物疫病预防控制中心实验室能力提升工程、大型生猪养殖场建设等一批重点项目。</w:t>
            </w:r>
          </w:p>
          <w:p>
            <w:pPr>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sz w:val="24"/>
                <w:szCs w:val="24"/>
              </w:rPr>
              <w:t>农民素质提升行动。</w:t>
            </w:r>
            <w:r>
              <w:rPr>
                <w:rFonts w:hint="eastAsia" w:ascii="Times New Roman" w:hAnsi="Times New Roman" w:eastAsia="仿宋_GB2312" w:cs="Times New Roman"/>
                <w:bCs/>
                <w:sz w:val="24"/>
                <w:szCs w:val="24"/>
              </w:rPr>
              <w:t>围绕农民增收和乡村人才振兴的实际需要，大力开展农民教育培训工作，搞好农民职业培训和职业教育的有效衔接，努力提高教育层次和水平，有效推进农民素质持续提升。</w:t>
            </w:r>
          </w:p>
        </w:tc>
      </w:tr>
      <w:bookmarkEnd w:id="95"/>
    </w:tbl>
    <w:p>
      <w:pPr>
        <w:spacing w:before="120" w:after="120" w:line="560" w:lineRule="exact"/>
        <w:ind w:firstLine="640" w:firstLineChars="200"/>
        <w:outlineLvl w:val="1"/>
        <w:rPr>
          <w:rFonts w:ascii="Times New Roman" w:hAnsi="Times New Roman" w:eastAsia="楷体" w:cstheme="majorBidi"/>
          <w:sz w:val="32"/>
          <w:szCs w:val="32"/>
        </w:rPr>
      </w:pPr>
      <w:bookmarkStart w:id="97" w:name="_Toc65060533"/>
      <w:bookmarkStart w:id="98" w:name="_Toc59921200"/>
      <w:r>
        <w:rPr>
          <w:rFonts w:hint="eastAsia" w:ascii="Times New Roman" w:hAnsi="Times New Roman" w:eastAsia="楷体" w:cstheme="majorBidi"/>
          <w:sz w:val="32"/>
          <w:szCs w:val="32"/>
        </w:rPr>
        <w:t>（五）巩固全面小康促进农民增收</w:t>
      </w:r>
      <w:bookmarkEnd w:id="97"/>
      <w:bookmarkEnd w:id="98"/>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促进农民多类型收入协同增长。</w:t>
      </w:r>
      <w:r>
        <w:rPr>
          <w:rFonts w:hint="eastAsia" w:ascii="Times New Roman" w:hAnsi="Times New Roman" w:eastAsia="仿宋_GB2312"/>
          <w:sz w:val="30"/>
          <w:szCs w:val="30"/>
        </w:rPr>
        <w:t>大力开展农民职业技能培训，加强劳动保障等政策配套，鼓励农民自主创办企业，增加农民工资性收入。持续推进生态产业发展，加快农产品转化和产业融合发展，提高农民经营性收入。整合惠农政策，建立扶贫开发长效机制，提高扶持力度、公共服务和社会保障水平，增加农民转移性收入。深化“产权</w:t>
      </w:r>
      <w:r>
        <w:rPr>
          <w:rFonts w:ascii="Times New Roman" w:hAnsi="Times New Roman" w:eastAsia="仿宋_GB2312"/>
          <w:sz w:val="30"/>
          <w:szCs w:val="30"/>
        </w:rPr>
        <w:t>+</w:t>
      </w:r>
      <w:r>
        <w:rPr>
          <w:rFonts w:hint="eastAsia" w:ascii="Times New Roman" w:hAnsi="Times New Roman" w:eastAsia="仿宋_GB2312"/>
          <w:sz w:val="30"/>
          <w:szCs w:val="30"/>
        </w:rPr>
        <w:t>金融”农村综合产权制度改革，发展壮大农村集体经济，有效提高农民财产性收入。</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推进“两类户”帮扶与乡村振兴相结合。</w:t>
      </w:r>
      <w:r>
        <w:rPr>
          <w:rFonts w:ascii="Times New Roman" w:hAnsi="Times New Roman" w:eastAsia="仿宋_GB2312"/>
          <w:bCs/>
          <w:sz w:val="30"/>
          <w:szCs w:val="30"/>
        </w:rPr>
        <w:t xml:space="preserve"> </w:t>
      </w:r>
      <w:r>
        <w:rPr>
          <w:rFonts w:hint="eastAsia" w:ascii="Times New Roman" w:hAnsi="Times New Roman" w:eastAsia="仿宋_GB2312"/>
          <w:bCs/>
          <w:sz w:val="30"/>
          <w:szCs w:val="30"/>
        </w:rPr>
        <w:t>持续做好“两类户”（脱贫不稳定户、边缘易致贫户）产业发展指导、小额信贷支持和农产品助力销售、医疗保险等政策落实，进一步巩固脱贫攻坚成果。</w:t>
      </w:r>
      <w:r>
        <w:rPr>
          <w:rFonts w:hint="eastAsia" w:ascii="Times New Roman" w:hAnsi="Times New Roman" w:eastAsia="仿宋_GB2312"/>
          <w:sz w:val="30"/>
          <w:szCs w:val="30"/>
        </w:rPr>
        <w:t>推动为“两类户”等创造更多就业机会，强化“两类户”就业技能培训和就业扶持力度，创新农户与新型经营主体的利益联结机制，提高产业帮扶能力。坚持绿色帮扶，以绿色发展引领乡村振兴。扎实开展文化帮扶工作，加大乡村教育扶持力度，利用农播校等平台助力农民素质提升，振兴乡风文明。加快农村基础设施和社会保障提档升级，逐步改善低收入农户基本生产生活条件。建立健全低收入农户帮扶机制以及防止返贫监测机制，有效巩固和接续帮扶成果。</w:t>
      </w:r>
    </w:p>
    <w:p>
      <w:pPr>
        <w:spacing w:line="560" w:lineRule="exact"/>
        <w:ind w:firstLine="600" w:firstLineChars="200"/>
        <w:rPr>
          <w:rFonts w:ascii="Times New Roman" w:hAnsi="Times New Roman" w:eastAsia="仿宋_GB2312"/>
          <w:sz w:val="30"/>
          <w:szCs w:val="30"/>
        </w:rPr>
        <w:sectPr>
          <w:pgSz w:w="11906" w:h="16838"/>
          <w:pgMar w:top="1440" w:right="1800" w:bottom="1440" w:left="1800" w:header="851" w:footer="992" w:gutter="0"/>
          <w:cols w:space="425" w:num="1"/>
          <w:docGrid w:type="lines" w:linePitch="312" w:charSpace="0"/>
        </w:sectPr>
      </w:pPr>
    </w:p>
    <w:p>
      <w:pPr>
        <w:spacing w:before="156" w:beforeLines="50" w:after="156" w:afterLines="50"/>
        <w:ind w:firstLine="640" w:firstLineChars="200"/>
        <w:outlineLvl w:val="0"/>
        <w:rPr>
          <w:rFonts w:ascii="Times New Roman" w:hAnsi="Times New Roman" w:eastAsia="黑体" w:cs="Times New Roman"/>
          <w:sz w:val="32"/>
          <w:szCs w:val="32"/>
        </w:rPr>
      </w:pPr>
      <w:bookmarkStart w:id="99" w:name="_Toc65060534"/>
      <w:bookmarkStart w:id="100" w:name="_Toc59921201"/>
      <w:r>
        <w:rPr>
          <w:rFonts w:hint="eastAsia" w:ascii="Times New Roman" w:hAnsi="Times New Roman" w:eastAsia="黑体" w:cs="Times New Roman"/>
          <w:sz w:val="32"/>
          <w:szCs w:val="32"/>
        </w:rPr>
        <w:t>八、全面提升基础能力，构建现代化设施保障新支撑</w:t>
      </w:r>
      <w:bookmarkEnd w:id="99"/>
    </w:p>
    <w:p>
      <w:pPr>
        <w:snapToGrid w:val="0"/>
        <w:spacing w:line="560" w:lineRule="exact"/>
        <w:ind w:firstLine="600" w:firstLineChars="200"/>
        <w:rPr>
          <w:rFonts w:ascii="Times New Roman" w:hAnsi="Times New Roman" w:eastAsia="黑体" w:cs="Times New Roman"/>
          <w:sz w:val="32"/>
          <w:szCs w:val="32"/>
        </w:rPr>
      </w:pPr>
      <w:r>
        <w:rPr>
          <w:rFonts w:hint="eastAsia" w:ascii="Times New Roman" w:hAnsi="Times New Roman" w:eastAsia="仿宋_GB2312" w:cs="Times New Roman"/>
          <w:sz w:val="30"/>
          <w:szCs w:val="30"/>
        </w:rPr>
        <w:t>坚持</w:t>
      </w:r>
      <w:r>
        <w:rPr>
          <w:rFonts w:hint="eastAsia" w:ascii="Times New Roman" w:hAnsi="Times New Roman" w:eastAsia="仿宋_GB2312"/>
          <w:sz w:val="30"/>
          <w:szCs w:val="30"/>
        </w:rPr>
        <w:t>适度超前、高效集约、绿色智能、安全可靠，加快构筑多元立体的综合交通体系，建设保障有力的能源设施，形成安全稳固的综合水利设施，不断推进基础设施迭代升级，全力强化现代化建设的基础支撑。</w:t>
      </w:r>
    </w:p>
    <w:p>
      <w:pPr>
        <w:spacing w:before="120" w:after="120" w:line="560" w:lineRule="exact"/>
        <w:ind w:firstLine="640" w:firstLineChars="200"/>
        <w:outlineLvl w:val="1"/>
        <w:rPr>
          <w:rFonts w:ascii="Times New Roman" w:hAnsi="Times New Roman" w:eastAsia="楷体" w:cstheme="majorBidi"/>
          <w:sz w:val="32"/>
          <w:szCs w:val="32"/>
        </w:rPr>
      </w:pPr>
      <w:bookmarkStart w:id="101" w:name="_Toc65060535"/>
      <w:r>
        <w:rPr>
          <w:rFonts w:hint="eastAsia" w:ascii="Times New Roman" w:hAnsi="Times New Roman" w:eastAsia="楷体" w:cstheme="majorBidi"/>
          <w:sz w:val="32"/>
          <w:szCs w:val="32"/>
        </w:rPr>
        <w:t>（一）建立高效便捷的综合交通网</w:t>
      </w:r>
      <w:bookmarkEnd w:id="101"/>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加快形成“七横六纵”为主体的中心城区主干路网。</w:t>
      </w:r>
      <w:r>
        <w:rPr>
          <w:rFonts w:hint="eastAsia" w:ascii="Times New Roman" w:hAnsi="Times New Roman" w:eastAsia="仿宋_GB2312"/>
          <w:sz w:val="30"/>
          <w:szCs w:val="30"/>
        </w:rPr>
        <w:t>全面优化中心城区内部交通体系，加快推动崇文西路、昌盛路南延等</w:t>
      </w:r>
      <w:r>
        <w:rPr>
          <w:rFonts w:ascii="Times New Roman" w:hAnsi="Times New Roman" w:eastAsia="仿宋_GB2312"/>
          <w:sz w:val="30"/>
          <w:szCs w:val="30"/>
        </w:rPr>
        <w:t>4</w:t>
      </w:r>
      <w:r>
        <w:rPr>
          <w:rFonts w:hint="eastAsia" w:ascii="Times New Roman" w:hAnsi="Times New Roman" w:eastAsia="仿宋_GB2312"/>
          <w:sz w:val="30"/>
          <w:szCs w:val="30"/>
        </w:rPr>
        <w:t>条道路建设，启动华夏大道北延等</w:t>
      </w:r>
      <w:r>
        <w:rPr>
          <w:rFonts w:ascii="Times New Roman" w:hAnsi="Times New Roman" w:eastAsia="仿宋_GB2312"/>
          <w:sz w:val="30"/>
          <w:szCs w:val="30"/>
        </w:rPr>
        <w:t>7</w:t>
      </w:r>
      <w:r>
        <w:rPr>
          <w:rFonts w:hint="eastAsia" w:ascii="Times New Roman" w:hAnsi="Times New Roman" w:eastAsia="仿宋_GB2312"/>
          <w:sz w:val="30"/>
          <w:szCs w:val="30"/>
        </w:rPr>
        <w:t>条道路工程，加快形成以雪枫路、县府路、北御道、南御道、华夏大道、振兴大道、腾飞大道为横轴，以西环路、和谐大道、孔祖大道、长寿大道、东环路、礼仪大道为纵轴的“七横六纵”中心城区主干路网。改造、拓宽街道、胡同等连接城区东西、南北交通的辅助道路，形成城区道路网格化。</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加快构建“三横三纵”快速对外交通网。</w:t>
      </w:r>
      <w:r>
        <w:rPr>
          <w:rFonts w:hint="eastAsia" w:ascii="Times New Roman" w:hAnsi="Times New Roman" w:eastAsia="仿宋_GB2312"/>
          <w:sz w:val="30"/>
          <w:szCs w:val="30"/>
        </w:rPr>
        <w:t>加快推进连霍高速公路商丘至豫皖界改扩建工程；加快推进永灵高速、永单高速两条高速夏邑段的前期工作，争取早日开工建设；加快三环九放射商丘至永城夏邑段建设速度，尽快打通夏邑至商丘和夏邑至永城的快速通道；开工建设夏邑县城</w:t>
      </w:r>
      <w:r>
        <w:rPr>
          <w:rFonts w:ascii="Times New Roman" w:hAnsi="Times New Roman" w:eastAsia="仿宋_GB2312"/>
          <w:sz w:val="30"/>
          <w:szCs w:val="30"/>
        </w:rPr>
        <w:t>-</w:t>
      </w:r>
      <w:r>
        <w:rPr>
          <w:rFonts w:hint="eastAsia" w:ascii="Times New Roman" w:hAnsi="Times New Roman" w:eastAsia="仿宋_GB2312"/>
          <w:sz w:val="30"/>
          <w:szCs w:val="30"/>
        </w:rPr>
        <w:t>砀山高铁站快速通道。加快推进郑商永城际铁路线位和站场选址等前期工作，改造提升陇海铁路夏邑站，增强客运和货运功能。</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加快构建“一环八射”城乡交通干线网。</w:t>
      </w:r>
      <w:r>
        <w:rPr>
          <w:rFonts w:hint="eastAsia" w:ascii="Times New Roman" w:hAnsi="Times New Roman" w:eastAsia="仿宋_GB2312"/>
          <w:sz w:val="30"/>
          <w:szCs w:val="30"/>
        </w:rPr>
        <w:t>强化中心城区对周边乡镇的交通辐射，加快推进北环路、东外环路和西外环路建设，加快推进国道</w:t>
      </w:r>
      <w:r>
        <w:rPr>
          <w:rFonts w:ascii="Times New Roman" w:hAnsi="Times New Roman" w:eastAsia="仿宋_GB2312"/>
          <w:sz w:val="30"/>
          <w:szCs w:val="30"/>
        </w:rPr>
        <w:t>G343</w:t>
      </w:r>
      <w:r>
        <w:rPr>
          <w:rFonts w:hint="eastAsia" w:ascii="Times New Roman" w:hAnsi="Times New Roman" w:eastAsia="仿宋_GB2312"/>
          <w:sz w:val="30"/>
          <w:szCs w:val="30"/>
        </w:rPr>
        <w:t>、省道</w:t>
      </w:r>
      <w:r>
        <w:rPr>
          <w:rFonts w:ascii="Times New Roman" w:hAnsi="Times New Roman" w:eastAsia="仿宋_GB2312"/>
          <w:sz w:val="30"/>
          <w:szCs w:val="30"/>
        </w:rPr>
        <w:t>S319</w:t>
      </w:r>
      <w:r>
        <w:rPr>
          <w:rFonts w:hint="eastAsia" w:ascii="Times New Roman" w:hAnsi="Times New Roman" w:eastAsia="仿宋_GB2312"/>
          <w:sz w:val="30"/>
          <w:szCs w:val="30"/>
        </w:rPr>
        <w:t>、省道</w:t>
      </w:r>
      <w:r>
        <w:rPr>
          <w:rFonts w:ascii="Times New Roman" w:hAnsi="Times New Roman" w:eastAsia="仿宋_GB2312"/>
          <w:sz w:val="30"/>
          <w:szCs w:val="30"/>
        </w:rPr>
        <w:t>S206</w:t>
      </w:r>
      <w:r>
        <w:rPr>
          <w:rFonts w:hint="eastAsia" w:ascii="Times New Roman" w:hAnsi="Times New Roman" w:eastAsia="仿宋_GB2312"/>
          <w:sz w:val="30"/>
          <w:szCs w:val="30"/>
        </w:rPr>
        <w:t>等道路的提升改造，形成东西向以</w:t>
      </w:r>
      <w:r>
        <w:rPr>
          <w:rFonts w:ascii="Times New Roman" w:hAnsi="Times New Roman" w:eastAsia="仿宋_GB2312"/>
          <w:sz w:val="30"/>
          <w:szCs w:val="30"/>
        </w:rPr>
        <w:t>S207</w:t>
      </w:r>
      <w:r>
        <w:rPr>
          <w:rFonts w:hint="eastAsia" w:ascii="Times New Roman" w:hAnsi="Times New Roman" w:eastAsia="仿宋_GB2312"/>
          <w:sz w:val="30"/>
          <w:szCs w:val="30"/>
        </w:rPr>
        <w:t>、</w:t>
      </w:r>
      <w:r>
        <w:rPr>
          <w:rFonts w:ascii="Times New Roman" w:hAnsi="Times New Roman" w:eastAsia="仿宋_GB2312"/>
          <w:sz w:val="30"/>
          <w:szCs w:val="30"/>
        </w:rPr>
        <w:t>S513</w:t>
      </w:r>
      <w:r>
        <w:rPr>
          <w:rFonts w:hint="eastAsia" w:ascii="Times New Roman" w:hAnsi="Times New Roman" w:eastAsia="仿宋_GB2312"/>
          <w:sz w:val="30"/>
          <w:szCs w:val="30"/>
        </w:rPr>
        <w:t>、</w:t>
      </w:r>
      <w:r>
        <w:rPr>
          <w:rFonts w:ascii="Times New Roman" w:hAnsi="Times New Roman" w:eastAsia="仿宋_GB2312"/>
          <w:sz w:val="30"/>
          <w:szCs w:val="30"/>
        </w:rPr>
        <w:t>S316</w:t>
      </w:r>
      <w:r>
        <w:rPr>
          <w:rFonts w:hint="eastAsia" w:ascii="Times New Roman" w:hAnsi="Times New Roman" w:eastAsia="仿宋_GB2312"/>
          <w:sz w:val="30"/>
          <w:szCs w:val="30"/>
        </w:rPr>
        <w:t>、</w:t>
      </w:r>
      <w:r>
        <w:rPr>
          <w:rFonts w:ascii="Times New Roman" w:hAnsi="Times New Roman" w:eastAsia="仿宋_GB2312"/>
          <w:sz w:val="30"/>
          <w:szCs w:val="30"/>
        </w:rPr>
        <w:t>S317</w:t>
      </w:r>
      <w:r>
        <w:rPr>
          <w:rFonts w:hint="eastAsia" w:ascii="Times New Roman" w:hAnsi="Times New Roman" w:eastAsia="仿宋_GB2312"/>
          <w:sz w:val="30"/>
          <w:szCs w:val="30"/>
        </w:rPr>
        <w:t>、</w:t>
      </w:r>
      <w:r>
        <w:rPr>
          <w:rFonts w:ascii="Times New Roman" w:hAnsi="Times New Roman" w:eastAsia="仿宋_GB2312"/>
          <w:sz w:val="30"/>
          <w:szCs w:val="30"/>
        </w:rPr>
        <w:t>S320</w:t>
      </w:r>
      <w:r>
        <w:rPr>
          <w:rFonts w:hint="eastAsia" w:ascii="Times New Roman" w:hAnsi="Times New Roman" w:eastAsia="仿宋_GB2312"/>
          <w:sz w:val="30"/>
          <w:szCs w:val="30"/>
        </w:rPr>
        <w:t>为主体，南北向以</w:t>
      </w:r>
      <w:r>
        <w:rPr>
          <w:rFonts w:ascii="Times New Roman" w:hAnsi="Times New Roman" w:eastAsia="仿宋_GB2312"/>
          <w:sz w:val="30"/>
          <w:szCs w:val="30"/>
        </w:rPr>
        <w:t>S206</w:t>
      </w:r>
      <w:r>
        <w:rPr>
          <w:rFonts w:hint="eastAsia" w:ascii="Times New Roman" w:hAnsi="Times New Roman" w:eastAsia="仿宋_GB2312"/>
          <w:sz w:val="30"/>
          <w:szCs w:val="30"/>
        </w:rPr>
        <w:t>、</w:t>
      </w:r>
      <w:r>
        <w:rPr>
          <w:rFonts w:ascii="Times New Roman" w:hAnsi="Times New Roman" w:eastAsia="仿宋_GB2312"/>
          <w:sz w:val="30"/>
          <w:szCs w:val="30"/>
        </w:rPr>
        <w:t>S319</w:t>
      </w:r>
      <w:r>
        <w:rPr>
          <w:rFonts w:hint="eastAsia" w:ascii="Times New Roman" w:hAnsi="Times New Roman" w:eastAsia="仿宋_GB2312"/>
          <w:sz w:val="30"/>
          <w:szCs w:val="30"/>
        </w:rPr>
        <w:t>、</w:t>
      </w:r>
      <w:r>
        <w:rPr>
          <w:rFonts w:ascii="Times New Roman" w:hAnsi="Times New Roman" w:eastAsia="仿宋_GB2312"/>
          <w:sz w:val="30"/>
          <w:szCs w:val="30"/>
        </w:rPr>
        <w:t>S516</w:t>
      </w:r>
      <w:r>
        <w:rPr>
          <w:rFonts w:hint="eastAsia" w:ascii="Times New Roman" w:hAnsi="Times New Roman" w:eastAsia="仿宋_GB2312"/>
          <w:sz w:val="30"/>
          <w:szCs w:val="30"/>
        </w:rPr>
        <w:t>、</w:t>
      </w:r>
      <w:r>
        <w:rPr>
          <w:rFonts w:ascii="Times New Roman" w:hAnsi="Times New Roman" w:eastAsia="仿宋_GB2312"/>
          <w:sz w:val="30"/>
          <w:szCs w:val="30"/>
        </w:rPr>
        <w:t>S202</w:t>
      </w:r>
      <w:r>
        <w:rPr>
          <w:rFonts w:hint="eastAsia" w:ascii="Times New Roman" w:hAnsi="Times New Roman" w:eastAsia="仿宋_GB2312"/>
          <w:sz w:val="30"/>
          <w:szCs w:val="30"/>
        </w:rPr>
        <w:t>、合纵路、夏车路为主体的“五横六纵”城乡交通干线网。</w:t>
      </w:r>
    </w:p>
    <w:p>
      <w:pPr>
        <w:spacing w:line="560" w:lineRule="exact"/>
        <w:ind w:firstLine="636" w:firstLineChars="198"/>
        <w:rPr>
          <w:rFonts w:ascii="Times New Roman" w:hAnsi="Times New Roman" w:eastAsia="仿宋" w:cs="仿宋"/>
          <w:sz w:val="32"/>
          <w:szCs w:val="32"/>
        </w:rPr>
      </w:pPr>
      <w:r>
        <w:rPr>
          <w:rFonts w:hint="eastAsia" w:ascii="Times New Roman" w:hAnsi="Times New Roman" w:eastAsia="仿宋" w:cs="仿宋"/>
          <w:b/>
          <w:bCs/>
          <w:sz w:val="32"/>
          <w:szCs w:val="32"/>
        </w:rPr>
        <w:t>加快推进农村公路建设。</w:t>
      </w:r>
      <w:r>
        <w:rPr>
          <w:rFonts w:hint="eastAsia" w:ascii="Times New Roman" w:hAnsi="Times New Roman" w:eastAsia="仿宋_GB2312"/>
          <w:sz w:val="30"/>
          <w:szCs w:val="30"/>
        </w:rPr>
        <w:t>“十四五”期间推进建设农村公路</w:t>
      </w:r>
      <w:r>
        <w:rPr>
          <w:rFonts w:ascii="Times New Roman" w:hAnsi="Times New Roman" w:eastAsia="仿宋_GB2312"/>
          <w:sz w:val="30"/>
          <w:szCs w:val="30"/>
        </w:rPr>
        <w:t>1500</w:t>
      </w:r>
      <w:r>
        <w:rPr>
          <w:rFonts w:hint="eastAsia" w:ascii="Times New Roman" w:hAnsi="Times New Roman" w:eastAsia="仿宋_GB2312"/>
          <w:sz w:val="30"/>
          <w:szCs w:val="30"/>
        </w:rPr>
        <w:t>公里，其中县乡道约</w:t>
      </w:r>
      <w:r>
        <w:rPr>
          <w:rFonts w:ascii="Times New Roman" w:hAnsi="Times New Roman" w:eastAsia="仿宋_GB2312"/>
          <w:sz w:val="30"/>
          <w:szCs w:val="30"/>
        </w:rPr>
        <w:t>300</w:t>
      </w:r>
      <w:r>
        <w:rPr>
          <w:rFonts w:hint="eastAsia" w:ascii="Times New Roman" w:hAnsi="Times New Roman" w:eastAsia="仿宋_GB2312"/>
          <w:sz w:val="30"/>
          <w:szCs w:val="30"/>
        </w:rPr>
        <w:t>公里，通村入组道路约</w:t>
      </w:r>
      <w:r>
        <w:rPr>
          <w:rFonts w:ascii="Times New Roman" w:hAnsi="Times New Roman" w:eastAsia="仿宋_GB2312"/>
          <w:sz w:val="30"/>
          <w:szCs w:val="30"/>
        </w:rPr>
        <w:t>1200</w:t>
      </w:r>
      <w:r>
        <w:rPr>
          <w:rFonts w:hint="eastAsia" w:ascii="Times New Roman" w:hAnsi="Times New Roman" w:eastAsia="仿宋_GB2312"/>
          <w:sz w:val="30"/>
          <w:szCs w:val="30"/>
        </w:rPr>
        <w:t>公里；实施公路安全生命防护工程约</w:t>
      </w:r>
      <w:r>
        <w:rPr>
          <w:rFonts w:ascii="Times New Roman" w:hAnsi="Times New Roman" w:eastAsia="仿宋_GB2312"/>
          <w:sz w:val="30"/>
          <w:szCs w:val="30"/>
        </w:rPr>
        <w:t>600</w:t>
      </w:r>
      <w:r>
        <w:rPr>
          <w:rFonts w:hint="eastAsia" w:ascii="Times New Roman" w:hAnsi="Times New Roman" w:eastAsia="仿宋_GB2312"/>
          <w:sz w:val="30"/>
          <w:szCs w:val="30"/>
        </w:rPr>
        <w:t>公里，改造桥梁</w:t>
      </w:r>
      <w:r>
        <w:rPr>
          <w:rFonts w:ascii="Times New Roman" w:hAnsi="Times New Roman" w:eastAsia="仿宋_GB2312"/>
          <w:sz w:val="30"/>
          <w:szCs w:val="30"/>
        </w:rPr>
        <w:t>3000</w:t>
      </w:r>
      <w:r>
        <w:rPr>
          <w:rFonts w:hint="eastAsia" w:ascii="Times New Roman" w:hAnsi="Times New Roman" w:eastAsia="仿宋_GB2312"/>
          <w:sz w:val="30"/>
          <w:szCs w:val="30"/>
        </w:rPr>
        <w:t>延米。争创全省“四好农村公路”示范县。</w:t>
      </w:r>
    </w:p>
    <w:p>
      <w:pPr>
        <w:spacing w:line="560" w:lineRule="exact"/>
        <w:ind w:firstLine="596" w:firstLineChars="198"/>
        <w:rPr>
          <w:rFonts w:ascii="Times New Roman" w:hAnsi="Times New Roman" w:eastAsia="仿宋_GB2312"/>
          <w:sz w:val="30"/>
          <w:szCs w:val="30"/>
        </w:rPr>
      </w:pPr>
      <w:r>
        <w:rPr>
          <w:rFonts w:hint="eastAsia" w:ascii="Times New Roman" w:hAnsi="Times New Roman" w:eastAsia="仿宋_GB2312"/>
          <w:b/>
          <w:bCs/>
          <w:sz w:val="30"/>
          <w:szCs w:val="30"/>
        </w:rPr>
        <w:t>加快内河航运工程建设。</w:t>
      </w:r>
      <w:r>
        <w:rPr>
          <w:rFonts w:hint="eastAsia" w:ascii="Times New Roman" w:hAnsi="Times New Roman" w:eastAsia="仿宋_GB2312"/>
          <w:sz w:val="30"/>
          <w:szCs w:val="30"/>
        </w:rPr>
        <w:t>加快推进沱河一期项目夏邑港区建设，启动沱河二期项目。</w:t>
      </w:r>
    </w:p>
    <w:tbl>
      <w:tblPr>
        <w:tblStyle w:val="15"/>
        <w:tblW w:w="0" w:type="auto"/>
        <w:tblInd w:w="0" w:type="dxa"/>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c>
          <w:tcPr>
            <w:tcW w:w="8522" w:type="dxa"/>
          </w:tcPr>
          <w:p>
            <w:pPr>
              <w:snapToGrid w:val="0"/>
              <w:jc w:val="center"/>
              <w:rPr>
                <w:rFonts w:ascii="Times New Roman" w:hAnsi="Times New Roman" w:eastAsia="楷体" w:cs="Times New Roman"/>
                <w:sz w:val="28"/>
                <w:szCs w:val="32"/>
              </w:rPr>
            </w:pPr>
            <w:r>
              <w:rPr>
                <w:rFonts w:hint="eastAsia" w:ascii="Times New Roman" w:hAnsi="Times New Roman" w:eastAsia="楷体" w:cs="Times New Roman"/>
                <w:sz w:val="28"/>
                <w:szCs w:val="32"/>
              </w:rPr>
              <w:t>专栏九</w:t>
            </w:r>
            <w:r>
              <w:rPr>
                <w:rFonts w:ascii="Times New Roman" w:hAnsi="Times New Roman" w:eastAsia="楷体" w:cs="Times New Roman"/>
                <w:sz w:val="28"/>
                <w:szCs w:val="32"/>
              </w:rPr>
              <w:t xml:space="preserve">  </w:t>
            </w:r>
            <w:bookmarkStart w:id="102" w:name="_Hlk59994724"/>
            <w:r>
              <w:rPr>
                <w:rFonts w:hint="eastAsia" w:ascii="Times New Roman" w:hAnsi="Times New Roman" w:eastAsia="楷体" w:cs="Times New Roman"/>
                <w:sz w:val="28"/>
                <w:szCs w:val="32"/>
              </w:rPr>
              <w:t>区域综合交通提速工程</w:t>
            </w:r>
            <w:bookmarkEnd w:id="102"/>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c>
          <w:tcPr>
            <w:tcW w:w="8522" w:type="dxa"/>
          </w:tcPr>
          <w:p>
            <w:pPr>
              <w:ind w:firstLine="480" w:firstLineChars="200"/>
              <w:rPr>
                <w:rFonts w:ascii="Times New Roman" w:hAnsi="Times New Roman" w:eastAsia="仿宋_GB2312" w:cs="Times New Roman"/>
                <w:bCs/>
                <w:sz w:val="24"/>
                <w:szCs w:val="24"/>
              </w:rPr>
            </w:pPr>
            <w:bookmarkStart w:id="103" w:name="_Hlk59994738"/>
            <w:r>
              <w:rPr>
                <w:rFonts w:hint="eastAsia" w:ascii="Times New Roman" w:hAnsi="Times New Roman" w:eastAsia="仿宋_GB2312" w:cs="Times New Roman"/>
                <w:bCs/>
                <w:sz w:val="24"/>
                <w:szCs w:val="24"/>
              </w:rPr>
              <w:t>围绕打造豫东地区重要的交通节点城市，加快构建高效连通周边区域中心城市和便捷连通县域主要乡镇的综合交通网。</w:t>
            </w:r>
          </w:p>
          <w:p>
            <w:pPr>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sz w:val="24"/>
                <w:szCs w:val="24"/>
              </w:rPr>
              <w:t>对外交通畅联。</w:t>
            </w:r>
            <w:r>
              <w:rPr>
                <w:rFonts w:hint="eastAsia" w:ascii="Times New Roman" w:hAnsi="Times New Roman" w:eastAsia="仿宋_GB2312" w:cs="Times New Roman"/>
                <w:bCs/>
                <w:sz w:val="24"/>
                <w:szCs w:val="24"/>
              </w:rPr>
              <w:t>重点加强与商丘、徐州、亳州等区域中心城市以及砀山南站、永城北站等客运枢纽的畅通连接，“十四五”期间重点完成商丘至永城夏邑段、夏邑县城至砀山南站两条快速通道建设。</w:t>
            </w:r>
          </w:p>
          <w:p>
            <w:pPr>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sz w:val="24"/>
                <w:szCs w:val="24"/>
              </w:rPr>
              <w:t>对内交通提速。</w:t>
            </w:r>
            <w:r>
              <w:rPr>
                <w:rFonts w:hint="eastAsia" w:ascii="Times New Roman" w:hAnsi="Times New Roman" w:eastAsia="仿宋_GB2312" w:cs="Times New Roman"/>
                <w:bCs/>
                <w:sz w:val="24"/>
                <w:szCs w:val="24"/>
              </w:rPr>
              <w:t>重点加强中心城区与车站、王集、骆集、太平、会亭、济阳等乡镇的快速联络，“十四五”期间重点完成国道</w:t>
            </w:r>
            <w:r>
              <w:rPr>
                <w:rFonts w:ascii="Times New Roman" w:hAnsi="Times New Roman" w:eastAsia="仿宋_GB2312" w:cs="Times New Roman"/>
                <w:bCs/>
                <w:sz w:val="24"/>
                <w:szCs w:val="24"/>
              </w:rPr>
              <w:t>G343</w:t>
            </w:r>
            <w:r>
              <w:rPr>
                <w:rFonts w:hint="eastAsia" w:ascii="Times New Roman" w:hAnsi="Times New Roman" w:eastAsia="仿宋_GB2312" w:cs="Times New Roman"/>
                <w:bCs/>
                <w:sz w:val="24"/>
                <w:szCs w:val="24"/>
              </w:rPr>
              <w:t>、省道</w:t>
            </w:r>
            <w:r>
              <w:rPr>
                <w:rFonts w:ascii="Times New Roman" w:hAnsi="Times New Roman" w:eastAsia="仿宋_GB2312" w:cs="Times New Roman"/>
                <w:bCs/>
                <w:sz w:val="24"/>
                <w:szCs w:val="24"/>
              </w:rPr>
              <w:t>S326</w:t>
            </w:r>
            <w:r>
              <w:rPr>
                <w:rFonts w:hint="eastAsia" w:ascii="Times New Roman" w:hAnsi="Times New Roman" w:eastAsia="仿宋_GB2312" w:cs="Times New Roman"/>
                <w:bCs/>
                <w:sz w:val="24"/>
                <w:szCs w:val="24"/>
              </w:rPr>
              <w:t>、省道</w:t>
            </w:r>
            <w:r>
              <w:rPr>
                <w:rFonts w:ascii="Times New Roman" w:hAnsi="Times New Roman" w:eastAsia="仿宋_GB2312" w:cs="Times New Roman"/>
                <w:bCs/>
                <w:sz w:val="24"/>
                <w:szCs w:val="24"/>
              </w:rPr>
              <w:t>S202</w:t>
            </w:r>
            <w:r>
              <w:rPr>
                <w:rFonts w:hint="eastAsia" w:ascii="Times New Roman" w:hAnsi="Times New Roman" w:eastAsia="仿宋_GB2312" w:cs="Times New Roman"/>
                <w:bCs/>
                <w:sz w:val="24"/>
                <w:szCs w:val="24"/>
              </w:rPr>
              <w:t>等道路夏邑段的提升改造。</w:t>
            </w:r>
            <w:bookmarkEnd w:id="103"/>
          </w:p>
        </w:tc>
      </w:tr>
    </w:tbl>
    <w:p>
      <w:pPr>
        <w:spacing w:before="120" w:after="120" w:line="560" w:lineRule="exact"/>
        <w:ind w:firstLine="640" w:firstLineChars="200"/>
        <w:outlineLvl w:val="1"/>
        <w:rPr>
          <w:rFonts w:ascii="Times New Roman" w:hAnsi="Times New Roman" w:eastAsia="楷体" w:cstheme="majorBidi"/>
          <w:sz w:val="32"/>
          <w:szCs w:val="32"/>
        </w:rPr>
      </w:pPr>
      <w:bookmarkStart w:id="104" w:name="_Toc65060536"/>
      <w:r>
        <w:rPr>
          <w:rFonts w:hint="eastAsia" w:ascii="Times New Roman" w:hAnsi="Times New Roman" w:eastAsia="楷体" w:cstheme="majorBidi"/>
          <w:sz w:val="32"/>
          <w:szCs w:val="32"/>
        </w:rPr>
        <w:t>（二）建立绿色清洁能源网络</w:t>
      </w:r>
      <w:bookmarkEnd w:id="104"/>
    </w:p>
    <w:p>
      <w:pPr>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加快城乡电力均等化进程，推进新一轮农村电网改造升级工程，新建</w:t>
      </w:r>
      <w:r>
        <w:rPr>
          <w:rFonts w:ascii="Times New Roman" w:hAnsi="Times New Roman" w:eastAsia="仿宋_GB2312"/>
          <w:sz w:val="30"/>
          <w:szCs w:val="30"/>
        </w:rPr>
        <w:t>220</w:t>
      </w:r>
      <w:r>
        <w:rPr>
          <w:rFonts w:hint="eastAsia" w:ascii="Times New Roman" w:hAnsi="Times New Roman" w:eastAsia="仿宋_GB2312"/>
          <w:sz w:val="30"/>
          <w:szCs w:val="30"/>
        </w:rPr>
        <w:t>千伏变电站</w:t>
      </w:r>
      <w:r>
        <w:rPr>
          <w:rFonts w:ascii="Times New Roman" w:hAnsi="Times New Roman" w:eastAsia="仿宋_GB2312"/>
          <w:sz w:val="30"/>
          <w:szCs w:val="30"/>
        </w:rPr>
        <w:t>1</w:t>
      </w:r>
      <w:r>
        <w:rPr>
          <w:rFonts w:hint="eastAsia" w:ascii="Times New Roman" w:hAnsi="Times New Roman" w:eastAsia="仿宋_GB2312"/>
          <w:sz w:val="30"/>
          <w:szCs w:val="30"/>
        </w:rPr>
        <w:t>座，</w:t>
      </w:r>
      <w:r>
        <w:rPr>
          <w:rFonts w:ascii="Times New Roman" w:hAnsi="Times New Roman" w:eastAsia="仿宋_GB2312"/>
          <w:sz w:val="30"/>
          <w:szCs w:val="30"/>
        </w:rPr>
        <w:t>110</w:t>
      </w:r>
      <w:r>
        <w:rPr>
          <w:rFonts w:hint="eastAsia" w:ascii="Times New Roman" w:hAnsi="Times New Roman" w:eastAsia="仿宋_GB2312"/>
          <w:sz w:val="30"/>
          <w:szCs w:val="30"/>
        </w:rPr>
        <w:t>千伏变电站</w:t>
      </w:r>
      <w:r>
        <w:rPr>
          <w:rFonts w:ascii="Times New Roman" w:hAnsi="Times New Roman" w:eastAsia="仿宋_GB2312"/>
          <w:sz w:val="30"/>
          <w:szCs w:val="30"/>
        </w:rPr>
        <w:t>2</w:t>
      </w:r>
      <w:r>
        <w:rPr>
          <w:rFonts w:hint="eastAsia" w:ascii="Times New Roman" w:hAnsi="Times New Roman" w:eastAsia="仿宋_GB2312"/>
          <w:sz w:val="30"/>
          <w:szCs w:val="30"/>
        </w:rPr>
        <w:t>座。建立健全充电站和充电桩等电动汽车充电网路，建成一批综合供能服务站。坚决落实碳达峰、碳中和要求，严格控制煤炭消费总量，实施煤炭减量替代。大力推进光伏、生物质能、太阳能、浅层地能、沼气、风能等可再生能源利用。扎实推进集中供热、供气、燃气进驻乡镇。持续推进节能减排，加强能源双控与结构优化，加快构建清洁、高效、安全、可持续的能源供应和消费体系。</w:t>
      </w:r>
    </w:p>
    <w:p>
      <w:pPr>
        <w:spacing w:before="120" w:after="120" w:line="560" w:lineRule="exact"/>
        <w:ind w:firstLine="640" w:firstLineChars="200"/>
        <w:outlineLvl w:val="1"/>
        <w:rPr>
          <w:rFonts w:ascii="Times New Roman" w:hAnsi="Times New Roman" w:eastAsia="楷体" w:cstheme="majorBidi"/>
          <w:sz w:val="32"/>
          <w:szCs w:val="32"/>
        </w:rPr>
      </w:pPr>
      <w:bookmarkStart w:id="105" w:name="_Toc65060537"/>
      <w:r>
        <w:rPr>
          <w:rFonts w:hint="eastAsia" w:ascii="Times New Roman" w:hAnsi="Times New Roman" w:eastAsia="楷体" w:cstheme="majorBidi"/>
          <w:sz w:val="32"/>
          <w:szCs w:val="32"/>
        </w:rPr>
        <w:t>（三）建立安全稳固水利网络</w:t>
      </w:r>
      <w:bookmarkEnd w:id="105"/>
    </w:p>
    <w:p>
      <w:pPr>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坚持节水优先，空间均衡，系统治理，两手发力的思路，着力解决水资源短缺问题，加快推进东沙河徐河滩闸、引江济淮配套工程、虬龙沟与废运河连通工程等供水安全工程。进一步提高水旱灾害防御能力，加快推进虬龙沟祝口桥至入沱河段、韩沟、惠沟、朱沟、八干渠等河道治理项目、夏邑县沱河金黄邓闸、虬龙沟南黄楼闸、虬龙沟黄庄闸等病险水闸除险加固工程及夏邑县巴清河、毛河、虬龙沟堤防应急道路建设项目。提高和改善节水灌溉面积，保障粮食安全，加快推进张板桥闸灌区、黑李庄闸灌区、业庙闸灌区和续建金张灌区、南黄楼灌区等灌区节水改造项目及夏邑县抗旱应急备用水源工程。强化农村供水工程管护，确保供水保障，实施农村饮水安全巩固提升工程，实现城乡供水一体化目标。加强生态水利建设，加快推进毛河水土保持治理程和废运河水土保持治理工程。加强智慧水利建设，提高水利现代化水平，推进夏邑县水利监测网和夏邑县水利综合信息系统管理平台等项目建设。</w:t>
      </w:r>
    </w:p>
    <w:p>
      <w:pPr>
        <w:spacing w:before="120" w:after="120" w:line="560" w:lineRule="exact"/>
        <w:ind w:firstLine="640" w:firstLineChars="200"/>
        <w:outlineLvl w:val="1"/>
        <w:rPr>
          <w:rFonts w:ascii="Times New Roman" w:hAnsi="Times New Roman" w:eastAsia="楷体" w:cstheme="majorBidi"/>
          <w:sz w:val="32"/>
          <w:szCs w:val="32"/>
        </w:rPr>
      </w:pPr>
      <w:bookmarkStart w:id="106" w:name="_Toc65060538"/>
      <w:r>
        <w:rPr>
          <w:rFonts w:hint="eastAsia" w:ascii="Times New Roman" w:hAnsi="Times New Roman" w:eastAsia="楷体" w:cstheme="majorBidi"/>
          <w:sz w:val="32"/>
          <w:szCs w:val="32"/>
        </w:rPr>
        <w:t>（四）构筑数字化新型基础设施</w:t>
      </w:r>
      <w:bookmarkEnd w:id="106"/>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统筹部署新型基础设施网络。</w:t>
      </w:r>
      <w:r>
        <w:rPr>
          <w:rFonts w:hint="eastAsia" w:ascii="Times New Roman" w:hAnsi="Times New Roman" w:eastAsia="仿宋_GB2312"/>
          <w:sz w:val="30"/>
          <w:szCs w:val="30"/>
        </w:rPr>
        <w:t>高质量建设</w:t>
      </w:r>
      <w:r>
        <w:rPr>
          <w:rFonts w:ascii="Times New Roman" w:hAnsi="Times New Roman" w:eastAsia="仿宋_GB2312"/>
          <w:sz w:val="30"/>
          <w:szCs w:val="30"/>
        </w:rPr>
        <w:t>5G</w:t>
      </w:r>
      <w:r>
        <w:rPr>
          <w:rFonts w:hint="eastAsia" w:ascii="Times New Roman" w:hAnsi="Times New Roman" w:eastAsia="仿宋_GB2312"/>
          <w:sz w:val="30"/>
          <w:szCs w:val="30"/>
        </w:rPr>
        <w:t>网络，鼓励</w:t>
      </w:r>
      <w:r>
        <w:rPr>
          <w:rFonts w:ascii="Times New Roman" w:hAnsi="Times New Roman" w:eastAsia="仿宋_GB2312"/>
          <w:sz w:val="30"/>
          <w:szCs w:val="30"/>
        </w:rPr>
        <w:t>5G</w:t>
      </w:r>
      <w:r>
        <w:rPr>
          <w:rFonts w:hint="eastAsia" w:ascii="Times New Roman" w:hAnsi="Times New Roman" w:eastAsia="仿宋_GB2312"/>
          <w:sz w:val="30"/>
          <w:szCs w:val="30"/>
        </w:rPr>
        <w:t>基站共建共享，实现乡镇以上</w:t>
      </w:r>
      <w:r>
        <w:rPr>
          <w:rFonts w:ascii="Times New Roman" w:hAnsi="Times New Roman" w:eastAsia="仿宋_GB2312"/>
          <w:sz w:val="30"/>
          <w:szCs w:val="30"/>
        </w:rPr>
        <w:t>5G</w:t>
      </w:r>
      <w:r>
        <w:rPr>
          <w:rFonts w:hint="eastAsia" w:ascii="Times New Roman" w:hAnsi="Times New Roman" w:eastAsia="仿宋_GB2312"/>
          <w:sz w:val="30"/>
          <w:szCs w:val="30"/>
        </w:rPr>
        <w:t>信号全覆盖。加快下一代互联网（</w:t>
      </w:r>
      <w:r>
        <w:rPr>
          <w:rFonts w:ascii="Times New Roman" w:hAnsi="Times New Roman" w:eastAsia="仿宋_GB2312"/>
          <w:sz w:val="30"/>
          <w:szCs w:val="30"/>
        </w:rPr>
        <w:t>IPv6</w:t>
      </w:r>
      <w:r>
        <w:rPr>
          <w:rFonts w:hint="eastAsia" w:ascii="Times New Roman" w:hAnsi="Times New Roman" w:eastAsia="仿宋_GB2312"/>
          <w:sz w:val="30"/>
          <w:szCs w:val="30"/>
        </w:rPr>
        <w:t>）规模部署，布局大容量光通信高速传输系统，推动新型互联网基础设施建设。统筹</w:t>
      </w:r>
      <w:r>
        <w:rPr>
          <w:rFonts w:ascii="Times New Roman" w:hAnsi="Times New Roman" w:eastAsia="仿宋_GB2312"/>
          <w:sz w:val="30"/>
          <w:szCs w:val="30"/>
        </w:rPr>
        <w:t>5G</w:t>
      </w:r>
      <w:r>
        <w:rPr>
          <w:rFonts w:hint="eastAsia" w:ascii="Times New Roman" w:hAnsi="Times New Roman" w:eastAsia="仿宋_GB2312"/>
          <w:sz w:val="30"/>
          <w:szCs w:val="30"/>
        </w:rPr>
        <w:t>、</w:t>
      </w:r>
      <w:r>
        <w:rPr>
          <w:rFonts w:ascii="Times New Roman" w:hAnsi="Times New Roman" w:eastAsia="仿宋_GB2312"/>
          <w:sz w:val="30"/>
          <w:szCs w:val="30"/>
        </w:rPr>
        <w:t>4G</w:t>
      </w:r>
      <w:r>
        <w:rPr>
          <w:rFonts w:hint="eastAsia" w:ascii="Times New Roman" w:hAnsi="Times New Roman" w:eastAsia="仿宋_GB2312"/>
          <w:sz w:val="30"/>
          <w:szCs w:val="30"/>
        </w:rPr>
        <w:t>和窄带物联网（</w:t>
      </w:r>
      <w:r>
        <w:rPr>
          <w:rFonts w:ascii="Times New Roman" w:hAnsi="Times New Roman" w:eastAsia="仿宋_GB2312"/>
          <w:sz w:val="30"/>
          <w:szCs w:val="30"/>
        </w:rPr>
        <w:t>NB-IoT</w:t>
      </w:r>
      <w:r>
        <w:rPr>
          <w:rFonts w:hint="eastAsia" w:ascii="Times New Roman" w:hAnsi="Times New Roman" w:eastAsia="仿宋_GB2312"/>
          <w:sz w:val="30"/>
          <w:szCs w:val="30"/>
        </w:rPr>
        <w:t>）协同发展，加快推进物联网设施建设。搭建新一代高性能人工智能开源框架、公共计算、数据开放等平台，加快人工智能融合平台建设。加快卫星时空信息服务设施建设，推进区块链基础设施建设。</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推进新型物联网络建设。</w:t>
      </w:r>
      <w:r>
        <w:rPr>
          <w:rFonts w:hint="eastAsia" w:ascii="Times New Roman" w:hAnsi="Times New Roman" w:eastAsia="仿宋_GB2312"/>
          <w:sz w:val="30"/>
          <w:szCs w:val="30"/>
        </w:rPr>
        <w:t>加快物联网基站建设和智能化传感器部署，促进系统集成和全域感知终端设施覆盖，实施工厂物联网示范试点项目，打造基于标识技术的安全物联网互联互通架构和应用平台。推进</w:t>
      </w:r>
      <w:r>
        <w:rPr>
          <w:rFonts w:ascii="Times New Roman" w:hAnsi="Times New Roman" w:eastAsia="仿宋_GB2312"/>
          <w:sz w:val="30"/>
          <w:szCs w:val="30"/>
        </w:rPr>
        <w:t>“</w:t>
      </w:r>
      <w:r>
        <w:rPr>
          <w:rFonts w:hint="eastAsia" w:ascii="Times New Roman" w:hAnsi="Times New Roman" w:eastAsia="仿宋_GB2312"/>
          <w:sz w:val="30"/>
          <w:szCs w:val="30"/>
        </w:rPr>
        <w:t>感知城市</w:t>
      </w:r>
      <w:r>
        <w:rPr>
          <w:rFonts w:ascii="Times New Roman" w:hAnsi="Times New Roman" w:eastAsia="仿宋_GB2312"/>
          <w:sz w:val="30"/>
          <w:szCs w:val="30"/>
        </w:rPr>
        <w:t>”</w:t>
      </w:r>
      <w:r>
        <w:rPr>
          <w:rFonts w:hint="eastAsia" w:ascii="Times New Roman" w:hAnsi="Times New Roman" w:eastAsia="仿宋_GB2312"/>
          <w:sz w:val="30"/>
          <w:szCs w:val="30"/>
        </w:rPr>
        <w:t>物联网系统建设，支持基础电信运营商构建低频长期演进（</w:t>
      </w:r>
      <w:r>
        <w:rPr>
          <w:rFonts w:ascii="Times New Roman" w:hAnsi="Times New Roman" w:eastAsia="仿宋_GB2312"/>
          <w:sz w:val="30"/>
          <w:szCs w:val="30"/>
        </w:rPr>
        <w:t>LTE</w:t>
      </w:r>
      <w:r>
        <w:rPr>
          <w:rFonts w:hint="eastAsia" w:ascii="Times New Roman" w:hAnsi="Times New Roman" w:eastAsia="仿宋_GB2312"/>
          <w:sz w:val="30"/>
          <w:szCs w:val="30"/>
        </w:rPr>
        <w:t>）网络，加快部署覆盖更广、速度更快、层次更丰富、智能化驱动的窄带物联网，推进其在公共服务、城市管理、防灾救灾、生产制造等领域的建设。推进物联网与实体经济的深度融合，加快工业互联网应用和企业智能化改造，推进“智能工厂”和“数字化车间”建设。</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加快新型基础设施场景应用。</w:t>
      </w:r>
      <w:r>
        <w:rPr>
          <w:rFonts w:hint="eastAsia" w:ascii="Times New Roman" w:hAnsi="Times New Roman" w:eastAsia="仿宋_GB2312"/>
          <w:sz w:val="30"/>
          <w:szCs w:val="30"/>
        </w:rPr>
        <w:t>推动智能化生态环境设施建设，促进城乡环保设施、水利基础设施和气象设施智能化升级。加快智能化交通设施建设，大力发展智慧物流，强化智慧交管大数据等交通设施智能化融合创新。建设多元融合高弹性电网、综合能源服务设施和智能化油气设施，布局充电桩网络及平台，促进清洁能源设施智能化。推进幸福民生设施智能化建设和智慧化融合应用。</w:t>
      </w:r>
    </w:p>
    <w:p>
      <w:pPr>
        <w:spacing w:line="560" w:lineRule="exact"/>
        <w:ind w:firstLine="600" w:firstLineChars="200"/>
        <w:rPr>
          <w:rFonts w:ascii="Times New Roman" w:hAnsi="Times New Roman" w:eastAsia="仿宋_GB2312"/>
          <w:sz w:val="30"/>
          <w:szCs w:val="30"/>
        </w:rPr>
        <w:sectPr>
          <w:pgSz w:w="11906" w:h="16838"/>
          <w:pgMar w:top="1440" w:right="1800" w:bottom="1440" w:left="1800" w:header="851" w:footer="992" w:gutter="0"/>
          <w:cols w:space="425" w:num="1"/>
          <w:docGrid w:type="lines" w:linePitch="312" w:charSpace="0"/>
        </w:sectPr>
      </w:pPr>
    </w:p>
    <w:bookmarkEnd w:id="100"/>
    <w:p>
      <w:pPr>
        <w:spacing w:before="156" w:beforeLines="50" w:after="156" w:afterLines="50"/>
        <w:ind w:firstLine="640" w:firstLineChars="200"/>
        <w:outlineLvl w:val="0"/>
        <w:rPr>
          <w:rFonts w:ascii="Times New Roman" w:hAnsi="Times New Roman" w:eastAsia="黑体" w:cs="Times New Roman"/>
          <w:sz w:val="32"/>
          <w:szCs w:val="32"/>
        </w:rPr>
      </w:pPr>
      <w:bookmarkStart w:id="107" w:name="_Toc65060539"/>
      <w:bookmarkStart w:id="108" w:name="_Toc59921205"/>
      <w:r>
        <w:rPr>
          <w:rFonts w:hint="eastAsia" w:ascii="Times New Roman" w:hAnsi="Times New Roman" w:eastAsia="黑体" w:cs="Times New Roman"/>
          <w:sz w:val="32"/>
          <w:szCs w:val="32"/>
        </w:rPr>
        <w:t>九、</w:t>
      </w:r>
      <w:bookmarkStart w:id="109" w:name="_Hlk59016844"/>
      <w:r>
        <w:rPr>
          <w:rFonts w:hint="eastAsia" w:ascii="Times New Roman" w:hAnsi="Times New Roman" w:eastAsia="黑体" w:cs="Times New Roman"/>
          <w:sz w:val="32"/>
          <w:szCs w:val="32"/>
        </w:rPr>
        <w:t>全面推进生态文明建设，构建美丽田园新图景</w:t>
      </w:r>
      <w:bookmarkEnd w:id="107"/>
      <w:bookmarkEnd w:id="108"/>
    </w:p>
    <w:bookmarkEnd w:id="109"/>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坚持“绿水青山就是金山银山”理念，尊重自然、顺应自然、保护自然，坚持节约优先、保护优先、自然恢复为主，守住自然生态安全边界。深入实施可持续发展战略，完善生态文明领域统筹协调机制，构建生态文明体系，促进经济社会发展全面绿色转型，建设人与自然和谐共生的现代化社会。</w:t>
      </w:r>
    </w:p>
    <w:p>
      <w:pPr>
        <w:spacing w:before="120" w:after="120" w:line="560" w:lineRule="exact"/>
        <w:ind w:firstLine="640" w:firstLineChars="200"/>
        <w:outlineLvl w:val="1"/>
        <w:rPr>
          <w:rFonts w:ascii="Times New Roman" w:hAnsi="Times New Roman" w:eastAsia="楷体" w:cstheme="majorBidi"/>
          <w:sz w:val="32"/>
          <w:szCs w:val="32"/>
        </w:rPr>
      </w:pPr>
      <w:bookmarkStart w:id="110" w:name="_Toc59921206"/>
      <w:bookmarkStart w:id="111" w:name="_Toc65060540"/>
      <w:r>
        <w:rPr>
          <w:rFonts w:hint="eastAsia" w:ascii="Times New Roman" w:hAnsi="Times New Roman" w:eastAsia="楷体" w:cstheme="majorBidi"/>
          <w:sz w:val="32"/>
          <w:szCs w:val="32"/>
        </w:rPr>
        <w:t>（一）建设山水林田湖生命共同体</w:t>
      </w:r>
      <w:bookmarkEnd w:id="110"/>
      <w:bookmarkEnd w:id="111"/>
    </w:p>
    <w:p>
      <w:pPr>
        <w:spacing w:line="560" w:lineRule="exact"/>
        <w:ind w:firstLine="660"/>
        <w:rPr>
          <w:rFonts w:ascii="Times New Roman" w:hAnsi="Times New Roman" w:eastAsia="仿宋_GB2312" w:cs="Times New Roman"/>
          <w:bCs/>
          <w:sz w:val="30"/>
          <w:szCs w:val="30"/>
        </w:rPr>
      </w:pPr>
      <w:r>
        <w:rPr>
          <w:rFonts w:hint="eastAsia" w:ascii="Times New Roman" w:hAnsi="Times New Roman" w:eastAsia="仿宋_GB2312" w:cs="Times New Roman"/>
          <w:b/>
          <w:sz w:val="30"/>
          <w:szCs w:val="30"/>
        </w:rPr>
        <w:t>提升青山绿水管制力。</w:t>
      </w:r>
      <w:r>
        <w:rPr>
          <w:rFonts w:hint="eastAsia" w:ascii="Times New Roman" w:hAnsi="Times New Roman" w:eastAsia="仿宋_GB2312" w:cs="Times New Roman"/>
          <w:bCs/>
          <w:sz w:val="30"/>
          <w:szCs w:val="30"/>
        </w:rPr>
        <w:t>充分发挥主体功能区战略在构建国土空间治理体系中的关键性作用，推动主体功能区战略格局在全县的精准落地。划定生态保护红线、永久基本农田、城镇开发边界三条控制线。落实</w:t>
      </w:r>
      <w:r>
        <w:rPr>
          <w:rFonts w:ascii="Times New Roman" w:hAnsi="Times New Roman" w:eastAsia="仿宋_GB2312" w:cs="Times New Roman"/>
          <w:bCs/>
          <w:sz w:val="30"/>
          <w:szCs w:val="30"/>
        </w:rPr>
        <w:t>“</w:t>
      </w:r>
      <w:r>
        <w:rPr>
          <w:rFonts w:hint="eastAsia" w:ascii="Times New Roman" w:hAnsi="Times New Roman" w:eastAsia="仿宋_GB2312" w:cs="Times New Roman"/>
          <w:bCs/>
          <w:sz w:val="30"/>
          <w:szCs w:val="30"/>
        </w:rPr>
        <w:t>三线一单</w:t>
      </w:r>
      <w:r>
        <w:rPr>
          <w:rFonts w:ascii="Times New Roman" w:hAnsi="Times New Roman" w:eastAsia="仿宋_GB2312" w:cs="Times New Roman"/>
          <w:bCs/>
          <w:sz w:val="30"/>
          <w:szCs w:val="30"/>
        </w:rPr>
        <w:t>”</w:t>
      </w:r>
      <w:r>
        <w:rPr>
          <w:rFonts w:hint="eastAsia" w:ascii="Times New Roman" w:hAnsi="Times New Roman" w:eastAsia="仿宋_GB2312" w:cs="Times New Roman"/>
          <w:bCs/>
          <w:sz w:val="30"/>
          <w:szCs w:val="30"/>
        </w:rPr>
        <w:t>管控方案，强化生态保护红线的刚性约束，实现</w:t>
      </w:r>
      <w:r>
        <w:rPr>
          <w:rFonts w:ascii="Times New Roman" w:hAnsi="Times New Roman" w:eastAsia="仿宋_GB2312" w:cs="Times New Roman"/>
          <w:bCs/>
          <w:sz w:val="30"/>
          <w:szCs w:val="30"/>
        </w:rPr>
        <w:t>“</w:t>
      </w:r>
      <w:r>
        <w:rPr>
          <w:rFonts w:hint="eastAsia" w:ascii="Times New Roman" w:hAnsi="Times New Roman" w:eastAsia="仿宋_GB2312" w:cs="Times New Roman"/>
          <w:bCs/>
          <w:sz w:val="30"/>
          <w:szCs w:val="30"/>
        </w:rPr>
        <w:t>一条红线</w:t>
      </w:r>
      <w:r>
        <w:rPr>
          <w:rFonts w:ascii="Times New Roman" w:hAnsi="Times New Roman" w:eastAsia="仿宋_GB2312" w:cs="Times New Roman"/>
          <w:bCs/>
          <w:sz w:val="30"/>
          <w:szCs w:val="30"/>
        </w:rPr>
        <w:t>”</w:t>
      </w:r>
      <w:r>
        <w:rPr>
          <w:rFonts w:hint="eastAsia" w:ascii="Times New Roman" w:hAnsi="Times New Roman" w:eastAsia="仿宋_GB2312" w:cs="Times New Roman"/>
          <w:bCs/>
          <w:sz w:val="30"/>
          <w:szCs w:val="30"/>
        </w:rPr>
        <w:t>管控重要生态空间，确保质量不降低，面积不减少、功能不改变。</w:t>
      </w:r>
    </w:p>
    <w:p>
      <w:pPr>
        <w:spacing w:line="560" w:lineRule="exact"/>
        <w:ind w:firstLine="660"/>
        <w:rPr>
          <w:rFonts w:ascii="Times New Roman" w:hAnsi="Times New Roman"/>
        </w:rPr>
      </w:pPr>
      <w:r>
        <w:rPr>
          <w:rFonts w:hint="eastAsia" w:ascii="Times New Roman" w:hAnsi="Times New Roman" w:eastAsia="仿宋_GB2312" w:cs="Times New Roman"/>
          <w:b/>
          <w:sz w:val="30"/>
          <w:szCs w:val="30"/>
        </w:rPr>
        <w:t>推进林田水湖修复。</w:t>
      </w:r>
      <w:r>
        <w:rPr>
          <w:rFonts w:hint="eastAsia" w:ascii="Times New Roman" w:hAnsi="Times New Roman" w:eastAsia="仿宋_GB2312" w:cs="Times New Roman"/>
          <w:bCs/>
          <w:sz w:val="30"/>
          <w:szCs w:val="30"/>
        </w:rPr>
        <w:t>持续推进国家森林城市创建工作，大力实施国土绿化提速行动，完善“廊道林荫化、平原林网化、乡村林果化、庭院花园化、城市园林化”的城乡绿化格局。重点开展全域扩容增绿及重大林业有害生物灾害防控，以乡土树种为主，乔灌结合、科学搭配，注重绿化、美化、彩化提升提质，大力营造景观林、用材林、经济林。持续推进河湖生态修复，落实</w:t>
      </w:r>
      <w:r>
        <w:rPr>
          <w:rFonts w:ascii="Times New Roman" w:hAnsi="Times New Roman" w:eastAsia="仿宋_GB2312" w:cs="Times New Roman"/>
          <w:bCs/>
          <w:sz w:val="30"/>
          <w:szCs w:val="30"/>
        </w:rPr>
        <w:t>“</w:t>
      </w:r>
      <w:r>
        <w:rPr>
          <w:rFonts w:hint="eastAsia" w:ascii="Times New Roman" w:hAnsi="Times New Roman" w:eastAsia="仿宋_GB2312" w:cs="Times New Roman"/>
          <w:bCs/>
          <w:sz w:val="30"/>
          <w:szCs w:val="30"/>
        </w:rPr>
        <w:t>一源一策</w:t>
      </w:r>
      <w:r>
        <w:rPr>
          <w:rFonts w:ascii="Times New Roman" w:hAnsi="Times New Roman" w:eastAsia="仿宋_GB2312" w:cs="Times New Roman"/>
          <w:bCs/>
          <w:sz w:val="30"/>
          <w:szCs w:val="30"/>
        </w:rPr>
        <w:t>”</w:t>
      </w:r>
      <w:r>
        <w:rPr>
          <w:rFonts w:hint="eastAsia" w:ascii="Times New Roman" w:hAnsi="Times New Roman" w:eastAsia="仿宋_GB2312" w:cs="Times New Roman"/>
          <w:bCs/>
          <w:sz w:val="30"/>
          <w:szCs w:val="30"/>
        </w:rPr>
        <w:t>，做好饮用水水源保护工作，深化湿地修复与提升工程，推进城市河湖湿地生态化治理。</w:t>
      </w:r>
    </w:p>
    <w:p>
      <w:pPr>
        <w:spacing w:before="120" w:after="120" w:line="560" w:lineRule="exact"/>
        <w:ind w:firstLine="640" w:firstLineChars="200"/>
        <w:outlineLvl w:val="1"/>
        <w:rPr>
          <w:rFonts w:ascii="Times New Roman" w:hAnsi="Times New Roman" w:eastAsia="楷体" w:cstheme="majorBidi"/>
          <w:sz w:val="32"/>
          <w:szCs w:val="32"/>
        </w:rPr>
      </w:pPr>
      <w:bookmarkStart w:id="112" w:name="_Toc65060541"/>
      <w:bookmarkStart w:id="113" w:name="_Toc59921207"/>
      <w:r>
        <w:rPr>
          <w:rFonts w:hint="eastAsia" w:ascii="Times New Roman" w:hAnsi="Times New Roman" w:eastAsia="楷体" w:cstheme="majorBidi"/>
          <w:sz w:val="32"/>
          <w:szCs w:val="32"/>
        </w:rPr>
        <w:t>（二）构建三大循环化体系</w:t>
      </w:r>
      <w:bookmarkEnd w:id="112"/>
      <w:bookmarkEnd w:id="113"/>
    </w:p>
    <w:p>
      <w:pPr>
        <w:spacing w:line="560" w:lineRule="exact"/>
        <w:ind w:firstLine="660"/>
        <w:rPr>
          <w:rFonts w:ascii="Times New Roman" w:hAnsi="Times New Roman" w:eastAsia="仿宋_GB2312" w:cs="Times New Roman"/>
          <w:bCs/>
          <w:sz w:val="30"/>
          <w:szCs w:val="30"/>
        </w:rPr>
      </w:pPr>
      <w:r>
        <w:rPr>
          <w:rFonts w:hint="eastAsia" w:ascii="Times New Roman" w:hAnsi="Times New Roman" w:eastAsia="仿宋_GB2312" w:cs="Times New Roman"/>
          <w:b/>
          <w:sz w:val="30"/>
          <w:szCs w:val="30"/>
        </w:rPr>
        <w:t>建立城乡循环化体系。</w:t>
      </w:r>
      <w:r>
        <w:rPr>
          <w:rFonts w:hint="eastAsia" w:ascii="Times New Roman" w:hAnsi="Times New Roman" w:eastAsia="仿宋_GB2312" w:cs="Times New Roman"/>
          <w:bCs/>
          <w:sz w:val="30"/>
          <w:szCs w:val="30"/>
        </w:rPr>
        <w:t>坚守城市发展“边界”，推进绿色城市、智慧城市、海绵城市、人文城市建设。继续倡导低碳生活方式，将绿色消费理念和消费方式完全渗透入市民的日常生活中，引导市民养成低碳生活方式。推动城乡生活垃圾处理一体化覆盖，建立生活垃圾分类投放和回收机制，以及收集、转运和处置的运行体系，使废弃物处理方式由无害化向资源利用化转变。继续推进农村垃圾治理、生活污水治理、厕所革命等重点任务落实，持续提升村容村貌。实现医疗“两废”规范化处置，对全县医疗废物实行统一收集、集中处置，做到日产日清。进一步推进静脉产业园建设，在大力提升发展现有农林生物质热电项目的基础上，积极引培污泥处理、医疗垃圾处置、建筑垃圾综合利用、电子电器回收综合利用等企业项目。</w:t>
      </w:r>
    </w:p>
    <w:p>
      <w:pPr>
        <w:spacing w:line="560" w:lineRule="exact"/>
        <w:ind w:firstLine="660"/>
        <w:rPr>
          <w:rFonts w:ascii="Times New Roman" w:hAnsi="Times New Roman" w:eastAsia="仿宋_GB2312" w:cs="Times New Roman"/>
          <w:bCs/>
          <w:sz w:val="30"/>
          <w:szCs w:val="30"/>
        </w:rPr>
      </w:pPr>
      <w:r>
        <w:rPr>
          <w:rFonts w:hint="eastAsia" w:ascii="Times New Roman" w:hAnsi="Times New Roman" w:eastAsia="仿宋_GB2312" w:cs="Times New Roman"/>
          <w:b/>
          <w:sz w:val="30"/>
          <w:szCs w:val="30"/>
        </w:rPr>
        <w:t>建立园区循环化体系。</w:t>
      </w:r>
      <w:r>
        <w:rPr>
          <w:rFonts w:hint="eastAsia" w:ascii="Times New Roman" w:hAnsi="Times New Roman" w:eastAsia="仿宋_GB2312" w:cs="Times New Roman"/>
          <w:bCs/>
          <w:sz w:val="30"/>
          <w:szCs w:val="30"/>
        </w:rPr>
        <w:t>大力推进产业集聚区等园区循环化改造，以印染、纺织等产业为重点，通过加强生态设计和绿色产品研发应用、优化推广绿色循环生产工艺等提升园区循环化发展水平。推进园区整体协同改造，探索循环项目、循环企业、园区循环化改造等一起“打捆”改造模式。积极培育专业化第三方改造和治理公司，推动开展园区清洁生产审核。加快建立园区能源资源环境管理平台和统计监测体系，强化循环经济技术研发及孵化中心等公共服务设施。与浙江柯桥等地建立交流机制，学习借鉴柯桥经开区国家级园区循环化改造示范试点建设经验，助力产业集聚区循环化体系建设。</w:t>
      </w:r>
    </w:p>
    <w:p>
      <w:pPr>
        <w:spacing w:line="560" w:lineRule="exact"/>
        <w:ind w:firstLine="660"/>
        <w:rPr>
          <w:rFonts w:ascii="Times New Roman" w:hAnsi="Times New Roman" w:eastAsia="仿宋_GB2312" w:cs="Times New Roman"/>
          <w:bCs/>
          <w:sz w:val="30"/>
          <w:szCs w:val="30"/>
        </w:rPr>
      </w:pPr>
      <w:r>
        <w:rPr>
          <w:rFonts w:hint="eastAsia" w:ascii="Times New Roman" w:hAnsi="Times New Roman" w:eastAsia="仿宋_GB2312" w:cs="Times New Roman"/>
          <w:b/>
          <w:sz w:val="30"/>
          <w:szCs w:val="30"/>
        </w:rPr>
        <w:t>建立企业循环化体系。</w:t>
      </w:r>
      <w:r>
        <w:rPr>
          <w:rFonts w:hint="eastAsia" w:ascii="Times New Roman" w:hAnsi="Times New Roman" w:eastAsia="仿宋_GB2312" w:cs="Times New Roman"/>
          <w:bCs/>
          <w:sz w:val="30"/>
          <w:szCs w:val="30"/>
        </w:rPr>
        <w:t>把循环经济“减量化、再利用、再循环”原则贯穿到企业生产的各环节和全流程，积极引导企业按照物质流的方法，加快构建完善内部小循环，提高原料、能源、水资源等物质的循环利用能力，进一步减少废弃物产生及排放。推行企业产品生态设计，引导企业实施产品全生命周期管理。严格执行排污许可制度，积极谋划实施一批重点减排项目，加强已建成减排设施的运行监管，提高重点行业脱硫脱硝设施的运行效率，实行全过程治污减排。推动实施企业绿色智能制造，推广物联网技术，加快建设绿色智能工厂。</w:t>
      </w:r>
    </w:p>
    <w:p>
      <w:pPr>
        <w:spacing w:before="120" w:after="120" w:line="560" w:lineRule="exact"/>
        <w:ind w:firstLine="640" w:firstLineChars="200"/>
        <w:outlineLvl w:val="1"/>
        <w:rPr>
          <w:rFonts w:ascii="Times New Roman" w:hAnsi="Times New Roman" w:eastAsia="楷体" w:cstheme="majorBidi"/>
          <w:sz w:val="32"/>
          <w:szCs w:val="32"/>
        </w:rPr>
      </w:pPr>
      <w:bookmarkStart w:id="114" w:name="_Toc65060542"/>
      <w:bookmarkStart w:id="115" w:name="_Toc59921208"/>
      <w:r>
        <w:rPr>
          <w:rFonts w:hint="eastAsia" w:ascii="Times New Roman" w:hAnsi="Times New Roman" w:eastAsia="楷体" w:cstheme="majorBidi"/>
          <w:sz w:val="32"/>
          <w:szCs w:val="32"/>
        </w:rPr>
        <w:t>（三）推进水更清天更蓝地更净</w:t>
      </w:r>
      <w:bookmarkEnd w:id="114"/>
      <w:bookmarkEnd w:id="115"/>
    </w:p>
    <w:p>
      <w:pPr>
        <w:spacing w:line="560" w:lineRule="exact"/>
        <w:ind w:firstLine="660"/>
        <w:rPr>
          <w:rFonts w:ascii="Times New Roman" w:hAnsi="Times New Roman" w:eastAsia="仿宋_GB2312" w:cs="Times New Roman"/>
          <w:bCs/>
          <w:sz w:val="30"/>
          <w:szCs w:val="30"/>
        </w:rPr>
      </w:pPr>
      <w:r>
        <w:rPr>
          <w:rFonts w:hint="eastAsia" w:ascii="Times New Roman" w:hAnsi="Times New Roman" w:eastAsia="仿宋_GB2312" w:cs="Times New Roman"/>
          <w:b/>
          <w:sz w:val="30"/>
          <w:szCs w:val="30"/>
        </w:rPr>
        <w:t>持续推进碧水工程。</w:t>
      </w:r>
      <w:r>
        <w:rPr>
          <w:rFonts w:hint="eastAsia" w:ascii="Times New Roman" w:hAnsi="Times New Roman" w:eastAsia="仿宋_GB2312" w:cs="Times New Roman"/>
          <w:bCs/>
          <w:sz w:val="30"/>
          <w:szCs w:val="30"/>
        </w:rPr>
        <w:t>加强饮用水源地环境管理，确保城乡居民饮水安全；实现雨污分流，持续推进城区、工业区污水管网的建设、改造，提高污水收集率、处理率，尽快实现城镇污水管网全覆盖，污水全收集、全处理。因地制宜，梯次推进农村污水治理。对乡镇政府所在地村、中心村的农村社区，建设污水处理设施，并配套排水管网；对条件一般的村、基础条件较差的村按照规划实施时间节点依次建设污水处理设施及配套排水管网等。加快生态湿地建设。</w:t>
      </w:r>
    </w:p>
    <w:p>
      <w:pPr>
        <w:spacing w:line="560" w:lineRule="exact"/>
        <w:ind w:firstLine="660"/>
        <w:rPr>
          <w:rFonts w:ascii="Times New Roman" w:hAnsi="Times New Roman" w:eastAsia="仿宋_GB2312" w:cs="Times New Roman"/>
          <w:bCs/>
          <w:sz w:val="30"/>
          <w:szCs w:val="30"/>
        </w:rPr>
      </w:pPr>
      <w:r>
        <w:rPr>
          <w:rFonts w:hint="eastAsia" w:ascii="Times New Roman" w:hAnsi="Times New Roman" w:eastAsia="仿宋_GB2312" w:cs="Times New Roman"/>
          <w:b/>
          <w:sz w:val="30"/>
          <w:szCs w:val="30"/>
        </w:rPr>
        <w:t>持续开展蓝天工程。</w:t>
      </w:r>
      <w:r>
        <w:rPr>
          <w:rFonts w:hint="eastAsia" w:ascii="Times New Roman" w:hAnsi="Times New Roman" w:eastAsia="仿宋_GB2312" w:cs="Times New Roman"/>
          <w:bCs/>
          <w:sz w:val="30"/>
          <w:szCs w:val="30"/>
        </w:rPr>
        <w:t>加快“四大结构”调整，深入推进“三散”治理，健全“六控”常态化治理机制，全面加强大气污染综合防治，加强对可吸入颗粒物、细颗粒物、挥发性有机物等污染物协同控制，确保全县空气质量明显好转；综合整治城市扬尘，确保环境空气优良天数明显增多，重污染天气大幅减少。</w:t>
      </w:r>
    </w:p>
    <w:p>
      <w:pPr>
        <w:spacing w:line="560" w:lineRule="exact"/>
        <w:ind w:firstLine="660"/>
        <w:rPr>
          <w:rFonts w:ascii="Times New Roman" w:hAnsi="Times New Roman" w:eastAsia="仿宋_GB2312" w:cs="Times New Roman"/>
          <w:bCs/>
          <w:sz w:val="30"/>
          <w:szCs w:val="30"/>
        </w:rPr>
      </w:pPr>
      <w:r>
        <w:rPr>
          <w:rFonts w:hint="eastAsia" w:ascii="Times New Roman" w:hAnsi="Times New Roman" w:eastAsia="仿宋_GB2312" w:cs="Times New Roman"/>
          <w:b/>
          <w:sz w:val="30"/>
          <w:szCs w:val="30"/>
        </w:rPr>
        <w:t>积极推进土壤环境攻坚。</w:t>
      </w:r>
      <w:r>
        <w:rPr>
          <w:rFonts w:hint="eastAsia" w:ascii="Times New Roman" w:hAnsi="Times New Roman" w:eastAsia="仿宋_GB2312" w:cs="Times New Roman"/>
          <w:bCs/>
          <w:sz w:val="30"/>
          <w:szCs w:val="30"/>
        </w:rPr>
        <w:t>建立土壤环境质量监测网络，全面掌握土壤污染状况和变化趋势，建立污染场地档案和数据库系统，为实现科学治土奠定坚实基础。减少农业生产污染，鼓励使用低毒高效农药和生物有机无害肥料，农药包装废弃物和废旧农膜回收实现乡镇全覆盖，并形成长效机制。减少生活污染，从源头上切断土壤污染来源。</w:t>
      </w:r>
    </w:p>
    <w:p>
      <w:pPr>
        <w:spacing w:line="560" w:lineRule="exact"/>
        <w:ind w:firstLine="660"/>
        <w:rPr>
          <w:rFonts w:ascii="Times New Roman" w:hAnsi="Times New Roman" w:eastAsia="仿宋_GB2312" w:cs="Times New Roman"/>
          <w:bCs/>
          <w:sz w:val="30"/>
          <w:szCs w:val="30"/>
        </w:rPr>
        <w:sectPr>
          <w:pgSz w:w="11906" w:h="16838"/>
          <w:pgMar w:top="1440" w:right="1800" w:bottom="1440" w:left="1800" w:header="851" w:footer="992" w:gutter="0"/>
          <w:cols w:space="425" w:num="1"/>
          <w:docGrid w:type="lines" w:linePitch="312" w:charSpace="0"/>
        </w:sectPr>
      </w:pPr>
    </w:p>
    <w:p>
      <w:pPr>
        <w:spacing w:before="156" w:beforeLines="50" w:after="156" w:afterLines="50"/>
        <w:ind w:firstLine="640" w:firstLineChars="200"/>
        <w:outlineLvl w:val="0"/>
        <w:rPr>
          <w:rFonts w:ascii="Times New Roman" w:hAnsi="Times New Roman" w:eastAsia="黑体" w:cs="Times New Roman"/>
          <w:sz w:val="32"/>
          <w:szCs w:val="32"/>
        </w:rPr>
      </w:pPr>
      <w:bookmarkStart w:id="116" w:name="_Toc59921209"/>
      <w:bookmarkStart w:id="117" w:name="_Toc65060543"/>
      <w:r>
        <w:rPr>
          <w:rFonts w:hint="eastAsia" w:ascii="Times New Roman" w:hAnsi="Times New Roman" w:eastAsia="黑体" w:cs="Times New Roman"/>
          <w:sz w:val="32"/>
          <w:szCs w:val="32"/>
        </w:rPr>
        <w:t>十、</w:t>
      </w:r>
      <w:bookmarkStart w:id="118" w:name="_Hlk59016863"/>
      <w:r>
        <w:rPr>
          <w:rFonts w:hint="eastAsia" w:ascii="Times New Roman" w:hAnsi="Times New Roman" w:eastAsia="黑体" w:cs="Times New Roman"/>
          <w:sz w:val="32"/>
          <w:szCs w:val="32"/>
        </w:rPr>
        <w:t>全面补齐民生发展短板，构建全民共享幸福新家园</w:t>
      </w:r>
      <w:bookmarkEnd w:id="116"/>
      <w:bookmarkEnd w:id="117"/>
    </w:p>
    <w:bookmarkEnd w:id="118"/>
    <w:p>
      <w:pPr>
        <w:snapToGrid w:val="0"/>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坚持以人民为中心，围绕“幼有善育、学有优教、劳有厚得、病有良医、老有颐养、住有宜居、弱有众扶”的目标，着力补齐民生短板，健全基本公共服务制度体系，提升优质公共服务供给能力，建设更高质量的民生幸福新家园。</w:t>
      </w:r>
    </w:p>
    <w:p>
      <w:pPr>
        <w:spacing w:before="120" w:after="120" w:line="560" w:lineRule="exact"/>
        <w:ind w:firstLine="640" w:firstLineChars="200"/>
        <w:outlineLvl w:val="1"/>
        <w:rPr>
          <w:rFonts w:ascii="Times New Roman" w:hAnsi="Times New Roman" w:eastAsia="楷体" w:cstheme="majorBidi"/>
          <w:sz w:val="32"/>
          <w:szCs w:val="32"/>
        </w:rPr>
      </w:pPr>
      <w:bookmarkStart w:id="119" w:name="_Toc65060544"/>
      <w:bookmarkStart w:id="120" w:name="_Toc59921210"/>
      <w:r>
        <w:rPr>
          <w:rFonts w:hint="eastAsia" w:ascii="Times New Roman" w:hAnsi="Times New Roman" w:eastAsia="楷体" w:cstheme="majorBidi"/>
          <w:sz w:val="32"/>
          <w:szCs w:val="32"/>
        </w:rPr>
        <w:t>（一）率先基本实现教育现代化</w:t>
      </w:r>
      <w:bookmarkEnd w:id="119"/>
      <w:bookmarkEnd w:id="120"/>
    </w:p>
    <w:p>
      <w:pPr>
        <w:snapToGrid w:val="0"/>
        <w:spacing w:line="560" w:lineRule="exact"/>
        <w:ind w:firstLine="602" w:firstLineChars="200"/>
        <w:rPr>
          <w:rFonts w:ascii="Times New Roman" w:hAnsi="Times New Roman" w:eastAsia="仿宋_GB2312"/>
          <w:kern w:val="0"/>
          <w:sz w:val="30"/>
          <w:szCs w:val="30"/>
        </w:rPr>
      </w:pPr>
      <w:r>
        <w:rPr>
          <w:rFonts w:hint="eastAsia" w:ascii="Times New Roman" w:hAnsi="Times New Roman" w:eastAsia="仿宋_GB2312"/>
          <w:b/>
          <w:bCs/>
          <w:kern w:val="0"/>
          <w:sz w:val="30"/>
          <w:szCs w:val="30"/>
        </w:rPr>
        <w:t>高质量发展教育事业。</w:t>
      </w:r>
      <w:r>
        <w:rPr>
          <w:rFonts w:hint="eastAsia" w:ascii="Times New Roman" w:hAnsi="Times New Roman" w:eastAsia="仿宋_GB2312"/>
          <w:kern w:val="0"/>
          <w:sz w:val="30"/>
          <w:szCs w:val="30"/>
        </w:rPr>
        <w:t>落实立德树人根本任务，实施乡村教育振兴战略，全面提升教育质量，培养德智体美劳全面发展的社会主义建设者和接班人，办好人民满意教育。学前教育普及普惠发展，大力发展公办幼儿园和普惠性民办幼儿园，建成覆盖城乡、布局合理的学前教育公共服务体系。义务教育优质均衡发展，优化学校结构布局，加强农村学校标准化建设和城区学校建设，完善优质教育资源共享机制，加快推进城乡义务教育一体化进程。普通高中教育特色多样发展，全面提升普通高中办学水平，完善学生综合素质评价体系，有效满足学生个性化、多样化发展需求，完善符合素质教育、促进学生全面发展的高中学业水平考试制度。办好特殊教育，实施特殊教育办学能力提升工程。大力发展职业教育，以培育夏邑优势产业工人为方向，引进大学职高分院分校。深化职普融通、产教融合、校企合作，建成县职业技能实训工场，不断提升职业教育服务全县社会经济社会发展能力，积极推进县孔祖中专升格为职业专科学校，筹备建设乡村振兴学院。积极发展老年教育，广泛开展社区教育，加快建设学习型社会。</w:t>
      </w:r>
    </w:p>
    <w:p>
      <w:pPr>
        <w:snapToGrid w:val="0"/>
        <w:spacing w:line="560" w:lineRule="exact"/>
        <w:ind w:firstLine="602" w:firstLineChars="200"/>
        <w:rPr>
          <w:rFonts w:ascii="Times New Roman" w:hAnsi="Times New Roman" w:eastAsia="仿宋_GB2312"/>
          <w:kern w:val="0"/>
          <w:sz w:val="30"/>
          <w:szCs w:val="30"/>
        </w:rPr>
      </w:pPr>
      <w:r>
        <w:rPr>
          <w:rFonts w:hint="eastAsia" w:ascii="Times New Roman" w:hAnsi="Times New Roman" w:eastAsia="仿宋_GB2312"/>
          <w:b/>
          <w:bCs/>
          <w:kern w:val="0"/>
          <w:sz w:val="30"/>
          <w:szCs w:val="30"/>
        </w:rPr>
        <w:t>完善教育发展保障机制。</w:t>
      </w:r>
      <w:r>
        <w:rPr>
          <w:rFonts w:hint="eastAsia" w:ascii="Times New Roman" w:hAnsi="Times New Roman" w:eastAsia="仿宋_GB2312"/>
          <w:kern w:val="0"/>
          <w:sz w:val="30"/>
          <w:szCs w:val="30"/>
        </w:rPr>
        <w:t>完善党对教育工作全面领导的体制机制，全面贯彻党的教育方针，坚持社会主义办学方向，坚持教育优先发展战略。加强教育法制和资源保障，推进教育治理体系和治理能力现代化。加强教育用地保障。加强教育信息化建设。实施“互联网</w:t>
      </w:r>
      <w:r>
        <w:rPr>
          <w:rFonts w:ascii="Times New Roman" w:hAnsi="Times New Roman" w:eastAsia="仿宋_GB2312"/>
          <w:kern w:val="0"/>
          <w:sz w:val="30"/>
          <w:szCs w:val="30"/>
        </w:rPr>
        <w:t>+</w:t>
      </w:r>
      <w:r>
        <w:rPr>
          <w:rFonts w:hint="eastAsia" w:ascii="Times New Roman" w:hAnsi="Times New Roman" w:eastAsia="仿宋_GB2312"/>
          <w:kern w:val="0"/>
          <w:sz w:val="30"/>
          <w:szCs w:val="30"/>
        </w:rPr>
        <w:t>”共同体发展计划，提升教育现代化水平。建设高素质教师队伍，加强师德师风建设，强化教师培训，实施归雁计划，形成优秀人才争相从教、广大教师尽展其才、名师名家不断涌现的良好局面。支持和规范民办教育发展，规范校外培训机构。</w:t>
      </w:r>
    </w:p>
    <w:p>
      <w:pPr>
        <w:snapToGrid w:val="0"/>
        <w:spacing w:line="560" w:lineRule="exact"/>
        <w:ind w:firstLine="602" w:firstLineChars="200"/>
        <w:rPr>
          <w:rFonts w:ascii="Times New Roman" w:hAnsi="Times New Roman" w:eastAsia="仿宋_GB2312"/>
          <w:kern w:val="0"/>
          <w:sz w:val="30"/>
          <w:szCs w:val="30"/>
        </w:rPr>
      </w:pPr>
      <w:r>
        <w:rPr>
          <w:rFonts w:hint="eastAsia" w:ascii="Times New Roman" w:hAnsi="Times New Roman" w:eastAsia="仿宋_GB2312"/>
          <w:b/>
          <w:bCs/>
          <w:kern w:val="0"/>
          <w:sz w:val="30"/>
          <w:szCs w:val="30"/>
        </w:rPr>
        <w:t>深化教育领域综合改革。</w:t>
      </w:r>
      <w:r>
        <w:rPr>
          <w:rFonts w:hint="eastAsia" w:ascii="Times New Roman" w:hAnsi="Times New Roman" w:eastAsia="仿宋_GB2312"/>
          <w:kern w:val="0"/>
          <w:sz w:val="30"/>
          <w:szCs w:val="30"/>
        </w:rPr>
        <w:t>改革完善教育经费投入使用管理体制机制，以解决教育发展不平衡不充分问题为重点，切实提高教育资源配置效率和使用效益。围绕党委政府、学校、教师、学生、社会五类主体，坚持破立结合的原则，深化改革新时代教育评价体系。开展办学模式改革，加强教育区域共享，采取集团化办学、学校联盟等方式，加强交流合作，深化结对学校合作共建，加强课程改革、教育科研、队伍建设、信息化建设等方面的合作交流。加快补齐各项教育事业短板，发展“互联网</w:t>
      </w:r>
      <w:r>
        <w:rPr>
          <w:rFonts w:ascii="Times New Roman" w:hAnsi="Times New Roman" w:eastAsia="仿宋_GB2312"/>
          <w:kern w:val="0"/>
          <w:sz w:val="30"/>
          <w:szCs w:val="30"/>
        </w:rPr>
        <w:t>+</w:t>
      </w:r>
      <w:r>
        <w:rPr>
          <w:rFonts w:hint="eastAsia" w:ascii="Times New Roman" w:hAnsi="Times New Roman" w:eastAsia="仿宋_GB2312"/>
          <w:kern w:val="0"/>
          <w:sz w:val="30"/>
          <w:szCs w:val="30"/>
        </w:rPr>
        <w:t>教育”。</w:t>
      </w:r>
    </w:p>
    <w:p>
      <w:pPr>
        <w:snapToGrid w:val="0"/>
        <w:spacing w:line="560" w:lineRule="exact"/>
        <w:ind w:firstLine="602" w:firstLineChars="200"/>
        <w:rPr>
          <w:rFonts w:ascii="Times New Roman" w:hAnsi="Times New Roman" w:eastAsia="仿宋_GB2312"/>
          <w:kern w:val="0"/>
          <w:sz w:val="30"/>
          <w:szCs w:val="30"/>
        </w:rPr>
      </w:pPr>
      <w:r>
        <w:rPr>
          <w:rFonts w:hint="eastAsia" w:ascii="Times New Roman" w:hAnsi="Times New Roman" w:eastAsia="仿宋_GB2312"/>
          <w:b/>
          <w:bCs/>
          <w:kern w:val="0"/>
          <w:sz w:val="30"/>
          <w:szCs w:val="30"/>
        </w:rPr>
        <w:t>大力提升全民科学素质。</w:t>
      </w:r>
      <w:r>
        <w:rPr>
          <w:rFonts w:hint="eastAsia" w:ascii="Times New Roman" w:hAnsi="Times New Roman" w:eastAsia="仿宋_GB2312"/>
          <w:kern w:val="0"/>
          <w:sz w:val="30"/>
          <w:szCs w:val="30"/>
        </w:rPr>
        <w:t>坚持“政府推动，全民参与，提升素质，促进和谐”指导方针，认真贯彻落实上级全民科学素质行动计划实施方案，到2025年，科学技术教育、传播与普及有长足发展，形成比较完善的公民科学素质建设的组织实施、基础设施、条件保障、监测评估等体系，公民科学素质在整体上有大幅度的提高，具备基本科学素质的比例达到或超过上级要求。</w:t>
      </w:r>
    </w:p>
    <w:p>
      <w:pPr>
        <w:spacing w:before="120" w:after="120" w:line="560" w:lineRule="exact"/>
        <w:ind w:firstLine="640" w:firstLineChars="200"/>
        <w:outlineLvl w:val="1"/>
        <w:rPr>
          <w:rFonts w:ascii="Times New Roman" w:hAnsi="Times New Roman" w:eastAsia="楷体" w:cstheme="majorBidi"/>
          <w:sz w:val="32"/>
          <w:szCs w:val="32"/>
        </w:rPr>
      </w:pPr>
      <w:bookmarkStart w:id="121" w:name="_Toc65060545"/>
      <w:bookmarkStart w:id="122" w:name="_Toc59921211"/>
      <w:r>
        <w:rPr>
          <w:rFonts w:hint="eastAsia" w:ascii="Times New Roman" w:hAnsi="Times New Roman" w:eastAsia="楷体" w:cstheme="majorBidi"/>
          <w:sz w:val="32"/>
          <w:szCs w:val="32"/>
        </w:rPr>
        <w:t>（二）推进更加充分可靠的就业和社会保障</w:t>
      </w:r>
      <w:bookmarkEnd w:id="121"/>
      <w:bookmarkEnd w:id="122"/>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加快完善全民共享的社会综合保障体系。</w:t>
      </w:r>
      <w:r>
        <w:rPr>
          <w:rFonts w:hint="eastAsia" w:ascii="Times New Roman" w:hAnsi="Times New Roman" w:eastAsia="仿宋_GB2312"/>
          <w:sz w:val="30"/>
          <w:szCs w:val="30"/>
        </w:rPr>
        <w:t>健全统筹城乡、可持续的基本养老保险制度，持续推进参保扩面，确保基本养老、基本医疗保险参保率均达到</w:t>
      </w:r>
      <w:r>
        <w:rPr>
          <w:rFonts w:ascii="Times New Roman" w:hAnsi="Times New Roman" w:eastAsia="仿宋_GB2312"/>
          <w:sz w:val="30"/>
          <w:szCs w:val="30"/>
        </w:rPr>
        <w:t>98%</w:t>
      </w:r>
      <w:r>
        <w:rPr>
          <w:rFonts w:hint="eastAsia" w:ascii="Times New Roman" w:hAnsi="Times New Roman" w:eastAsia="仿宋_GB2312"/>
          <w:sz w:val="30"/>
          <w:szCs w:val="30"/>
        </w:rPr>
        <w:t>以上。完善社会力量兴办社会事业体制机制，健全公建民营、民办公助等制度，推行“政保合作”，促进公共服务多元化供给。建立和完善房地产市场平稳健康发展长效机制，加快建立多主体供给、多渠道保障、租购并举的住房制度，加快完善保障性住房与人才住房制度。</w:t>
      </w:r>
    </w:p>
    <w:p>
      <w:pPr>
        <w:snapToGrid w:val="0"/>
        <w:spacing w:line="560" w:lineRule="exact"/>
        <w:ind w:firstLine="602" w:firstLineChars="200"/>
        <w:rPr>
          <w:rFonts w:ascii="Times New Roman" w:hAnsi="Times New Roman" w:eastAsia="仿宋_GB2312"/>
          <w:kern w:val="0"/>
          <w:sz w:val="30"/>
          <w:szCs w:val="30"/>
        </w:rPr>
      </w:pPr>
      <w:r>
        <w:rPr>
          <w:rFonts w:hint="eastAsia" w:ascii="Times New Roman" w:hAnsi="Times New Roman" w:eastAsia="仿宋_GB2312"/>
          <w:b/>
          <w:bCs/>
          <w:kern w:val="0"/>
          <w:sz w:val="30"/>
          <w:szCs w:val="30"/>
        </w:rPr>
        <w:t>推动实现更高质量和更充分就业。</w:t>
      </w:r>
      <w:r>
        <w:rPr>
          <w:rFonts w:hint="eastAsia" w:ascii="Times New Roman" w:hAnsi="Times New Roman" w:eastAsia="仿宋_GB2312"/>
          <w:kern w:val="0"/>
          <w:sz w:val="30"/>
          <w:szCs w:val="30"/>
        </w:rPr>
        <w:t>稳定和扩大就业，坚持创造更多就业岗位和稳定现有就业岗位并重，全力防范化解规模性失业风险，确保就业形势总体稳定。做好就业优惠政策落实，提升职业技能培训力度和质量，注重解决结构性就业矛盾，完善高质量就业创业政策体系，鼓励创业带动就业。加大就业创业扶持力度，开展职业技能提升行动，城镇登记失业率控制在</w:t>
      </w:r>
      <w:r>
        <w:rPr>
          <w:rFonts w:ascii="Times New Roman" w:hAnsi="Times New Roman" w:eastAsia="仿宋_GB2312"/>
          <w:kern w:val="0"/>
          <w:sz w:val="30"/>
          <w:szCs w:val="30"/>
        </w:rPr>
        <w:t>4.5%</w:t>
      </w:r>
      <w:r>
        <w:rPr>
          <w:rFonts w:hint="eastAsia" w:ascii="Times New Roman" w:hAnsi="Times New Roman" w:eastAsia="仿宋_GB2312"/>
          <w:kern w:val="0"/>
          <w:sz w:val="30"/>
          <w:szCs w:val="30"/>
        </w:rPr>
        <w:t>以内。注重源头预防管理，创新根治欠薪机制，落实好建筑等行业工资保证金制度，打造无欠薪城市，助力全省根治欠薪示范区建设。</w:t>
      </w:r>
    </w:p>
    <w:p>
      <w:pPr>
        <w:snapToGrid w:val="0"/>
        <w:spacing w:line="560" w:lineRule="exact"/>
        <w:ind w:firstLine="602" w:firstLineChars="200"/>
        <w:rPr>
          <w:rFonts w:ascii="Times New Roman" w:hAnsi="Times New Roman" w:eastAsia="仿宋_GB2312"/>
          <w:kern w:val="0"/>
          <w:sz w:val="30"/>
          <w:szCs w:val="30"/>
        </w:rPr>
      </w:pPr>
      <w:r>
        <w:rPr>
          <w:rFonts w:hint="eastAsia" w:ascii="Times New Roman" w:hAnsi="Times New Roman" w:eastAsia="仿宋_GB2312"/>
          <w:b/>
          <w:bCs/>
          <w:kern w:val="0"/>
          <w:sz w:val="30"/>
          <w:szCs w:val="30"/>
        </w:rPr>
        <w:t>着力提高居民收入。</w:t>
      </w:r>
      <w:r>
        <w:rPr>
          <w:rFonts w:hint="eastAsia" w:ascii="Times New Roman" w:hAnsi="Times New Roman" w:eastAsia="仿宋_GB2312"/>
          <w:kern w:val="0"/>
          <w:sz w:val="30"/>
          <w:szCs w:val="30"/>
        </w:rPr>
        <w:t>扩大中等收入群体，深化收入分配制度改革，增加劳动者特别是一线劳动者报酬，提高劳动报酬在初次分配中的比重。推动居民收入与经济增长基本同步、劳动报酬与劳动生产率提高基本同步。完善资本、知识、技术、管理等要素市场决定的报酬机制，稳步增加居民财产性收入和经营性收入。引导农民通过创业、就业、经营增加各类收入，鼓励激活农村闲置住宅，到</w:t>
      </w:r>
      <w:r>
        <w:rPr>
          <w:rFonts w:ascii="Times New Roman" w:hAnsi="Times New Roman" w:eastAsia="仿宋_GB2312"/>
          <w:kern w:val="0"/>
          <w:sz w:val="30"/>
          <w:szCs w:val="30"/>
        </w:rPr>
        <w:t>2025</w:t>
      </w:r>
      <w:r>
        <w:rPr>
          <w:rFonts w:hint="eastAsia" w:ascii="Times New Roman" w:hAnsi="Times New Roman" w:eastAsia="仿宋_GB2312"/>
          <w:kern w:val="0"/>
          <w:sz w:val="30"/>
          <w:szCs w:val="30"/>
        </w:rPr>
        <w:t>年，全体居民人均可支配收入增长与经济增长基本同步，城乡居民收入比缩小到</w:t>
      </w:r>
      <w:r>
        <w:rPr>
          <w:rFonts w:ascii="Times New Roman" w:hAnsi="Times New Roman" w:eastAsia="仿宋_GB2312"/>
          <w:kern w:val="0"/>
          <w:sz w:val="30"/>
          <w:szCs w:val="30"/>
        </w:rPr>
        <w:t>2</w:t>
      </w:r>
      <w:r>
        <w:rPr>
          <w:rFonts w:hint="eastAsia" w:ascii="Times New Roman" w:hAnsi="Times New Roman" w:eastAsia="仿宋_GB2312"/>
          <w:kern w:val="0"/>
          <w:sz w:val="30"/>
          <w:szCs w:val="30"/>
        </w:rPr>
        <w:t>以内。增加低收入群体收入，完善企业工资集体协商制度和最低工资标准调整机制。建立解决相对贫困群体的稳定增收机制，确保低收入群体收入增长快于经济增长、快于居民收入平均增长。</w:t>
      </w:r>
    </w:p>
    <w:p>
      <w:pPr>
        <w:snapToGrid w:val="0"/>
        <w:spacing w:line="560" w:lineRule="exact"/>
        <w:ind w:firstLine="602" w:firstLineChars="200"/>
        <w:rPr>
          <w:rFonts w:ascii="Times New Roman" w:hAnsi="Times New Roman" w:eastAsia="仿宋_GB2312"/>
          <w:kern w:val="0"/>
          <w:sz w:val="30"/>
          <w:szCs w:val="30"/>
        </w:rPr>
      </w:pPr>
      <w:r>
        <w:rPr>
          <w:rFonts w:hint="eastAsia" w:ascii="Times New Roman" w:hAnsi="Times New Roman" w:eastAsia="仿宋_GB2312"/>
          <w:b/>
          <w:bCs/>
          <w:kern w:val="0"/>
          <w:sz w:val="30"/>
          <w:szCs w:val="30"/>
        </w:rPr>
        <w:t>完善新时代救助制度建设。</w:t>
      </w:r>
      <w:r>
        <w:rPr>
          <w:rFonts w:hint="eastAsia" w:ascii="Times New Roman" w:hAnsi="Times New Roman" w:eastAsia="仿宋_GB2312"/>
          <w:kern w:val="0"/>
          <w:sz w:val="30"/>
          <w:szCs w:val="30"/>
        </w:rPr>
        <w:t>建立健全以基本生活救助为主体、专项救助为支撑、急难救助为辅助、慈善救助为补充的分层分类梯度救护制度体系。创新社会救助服务模式，完善产业开发、社会共助等帮扶救助制度，强化支出型贫困救助，形成更加精准有效可持续的政策体系。完善基层社会救助“一门受理、协同办理”服务平台，完善农村留守儿童、妇女、老年人关爱服务体系。统筹城乡社会救助体系，推进扶老、助残、救孤、济困等福利事业，提高优抚安置保障水平。</w:t>
      </w:r>
    </w:p>
    <w:p>
      <w:pPr>
        <w:spacing w:before="120" w:after="120" w:line="560" w:lineRule="exact"/>
        <w:ind w:firstLine="640" w:firstLineChars="200"/>
        <w:outlineLvl w:val="1"/>
        <w:rPr>
          <w:rFonts w:ascii="Times New Roman" w:hAnsi="Times New Roman" w:eastAsia="楷体" w:cstheme="majorBidi"/>
          <w:sz w:val="32"/>
          <w:szCs w:val="32"/>
        </w:rPr>
      </w:pPr>
      <w:bookmarkStart w:id="123" w:name="_Toc59921212"/>
      <w:bookmarkStart w:id="124" w:name="_Toc65060546"/>
      <w:r>
        <w:rPr>
          <w:rFonts w:hint="eastAsia" w:ascii="Times New Roman" w:hAnsi="Times New Roman" w:eastAsia="楷体" w:cstheme="majorBidi"/>
          <w:sz w:val="32"/>
          <w:szCs w:val="32"/>
        </w:rPr>
        <w:t>（三）建设更高水准的健康夏邑</w:t>
      </w:r>
      <w:bookmarkEnd w:id="123"/>
      <w:bookmarkEnd w:id="124"/>
    </w:p>
    <w:p>
      <w:pPr>
        <w:snapToGrid w:val="0"/>
        <w:spacing w:line="560" w:lineRule="exact"/>
        <w:ind w:firstLine="602" w:firstLineChars="200"/>
        <w:rPr>
          <w:rFonts w:ascii="Times New Roman" w:hAnsi="Times New Roman" w:eastAsia="仿宋_GB2312"/>
          <w:kern w:val="0"/>
          <w:sz w:val="30"/>
          <w:szCs w:val="30"/>
        </w:rPr>
      </w:pPr>
      <w:r>
        <w:rPr>
          <w:rFonts w:hint="eastAsia" w:ascii="Times New Roman" w:hAnsi="Times New Roman" w:eastAsia="仿宋_GB2312" w:cs="Times New Roman"/>
          <w:b/>
          <w:bCs/>
          <w:kern w:val="0"/>
          <w:sz w:val="30"/>
          <w:szCs w:val="30"/>
        </w:rPr>
        <w:t>统筹增强医疗服务能力。</w:t>
      </w:r>
      <w:r>
        <w:rPr>
          <w:rFonts w:hint="eastAsia" w:ascii="Times New Roman" w:hAnsi="Times New Roman" w:eastAsia="仿宋_GB2312"/>
          <w:kern w:val="0"/>
          <w:sz w:val="30"/>
          <w:szCs w:val="30"/>
        </w:rPr>
        <w:t>加快形成“县级医院引领、乡镇卫生院辅助、社区卫生服务站支撑”的医疗体系。深化县域医共体和城市医联体建设，合理布局社区卫生服务中心、乡镇卫生院、村卫生室，确保</w:t>
      </w:r>
      <w:r>
        <w:rPr>
          <w:rFonts w:ascii="Times New Roman" w:hAnsi="Times New Roman" w:eastAsia="仿宋_GB2312"/>
          <w:kern w:val="0"/>
          <w:sz w:val="30"/>
          <w:szCs w:val="30"/>
        </w:rPr>
        <w:t>100%</w:t>
      </w:r>
      <w:r>
        <w:rPr>
          <w:rFonts w:hint="eastAsia" w:ascii="Times New Roman" w:hAnsi="Times New Roman" w:eastAsia="仿宋_GB2312"/>
          <w:kern w:val="0"/>
          <w:sz w:val="30"/>
          <w:szCs w:val="30"/>
        </w:rPr>
        <w:t>村卫生室达到省规范化要求，所有乡镇卫生院达到国家基本标准，努力建成豫东地区具有较高水准的医疗服务中心。深化医疗、医保、医药“三医联动”改革，落实分级诊疗制度，构建优质高效的医疗卫生服务体系。加强卫生人才队伍建设，建立乡村两级医疗卫生绿色人才通道。县级医疗卫生机构卫生技术人员本科学历达到</w:t>
      </w:r>
      <w:r>
        <w:rPr>
          <w:rFonts w:ascii="Times New Roman" w:hAnsi="Times New Roman" w:eastAsia="仿宋_GB2312"/>
          <w:kern w:val="0"/>
          <w:sz w:val="30"/>
          <w:szCs w:val="30"/>
        </w:rPr>
        <w:t>35%</w:t>
      </w:r>
      <w:r>
        <w:rPr>
          <w:rFonts w:hint="eastAsia" w:ascii="Times New Roman" w:hAnsi="Times New Roman" w:eastAsia="仿宋_GB2312"/>
          <w:kern w:val="0"/>
          <w:sz w:val="30"/>
          <w:szCs w:val="30"/>
        </w:rPr>
        <w:t>以上，乡镇卫生院卫生技术人员大专学历达到</w:t>
      </w:r>
      <w:r>
        <w:rPr>
          <w:rFonts w:ascii="Times New Roman" w:hAnsi="Times New Roman" w:eastAsia="仿宋_GB2312"/>
          <w:kern w:val="0"/>
          <w:sz w:val="30"/>
          <w:szCs w:val="30"/>
        </w:rPr>
        <w:t>35%</w:t>
      </w:r>
      <w:r>
        <w:rPr>
          <w:rFonts w:hint="eastAsia" w:ascii="Times New Roman" w:hAnsi="Times New Roman" w:eastAsia="仿宋_GB2312"/>
          <w:kern w:val="0"/>
          <w:sz w:val="30"/>
          <w:szCs w:val="30"/>
        </w:rPr>
        <w:t>以上；全科医师培训达到城市每万名居民有</w:t>
      </w:r>
      <w:r>
        <w:rPr>
          <w:rFonts w:ascii="Times New Roman" w:hAnsi="Times New Roman" w:eastAsia="仿宋_GB2312"/>
          <w:kern w:val="0"/>
          <w:sz w:val="30"/>
          <w:szCs w:val="30"/>
        </w:rPr>
        <w:t>2-3</w:t>
      </w:r>
      <w:r>
        <w:rPr>
          <w:rFonts w:hint="eastAsia" w:ascii="Times New Roman" w:hAnsi="Times New Roman" w:eastAsia="仿宋_GB2312"/>
          <w:kern w:val="0"/>
          <w:sz w:val="30"/>
          <w:szCs w:val="30"/>
        </w:rPr>
        <w:t>名全科医生。</w:t>
      </w:r>
    </w:p>
    <w:p>
      <w:pPr>
        <w:snapToGrid w:val="0"/>
        <w:spacing w:line="560" w:lineRule="exact"/>
        <w:ind w:firstLine="602" w:firstLineChars="200"/>
        <w:rPr>
          <w:rFonts w:ascii="Times New Roman" w:hAnsi="Times New Roman" w:eastAsia="仿宋_GB2312"/>
          <w:kern w:val="0"/>
          <w:sz w:val="30"/>
          <w:szCs w:val="30"/>
        </w:rPr>
      </w:pPr>
      <w:r>
        <w:rPr>
          <w:rFonts w:hint="eastAsia" w:ascii="Times New Roman" w:hAnsi="Times New Roman" w:eastAsia="仿宋_GB2312"/>
          <w:b/>
          <w:kern w:val="0"/>
          <w:sz w:val="30"/>
          <w:szCs w:val="30"/>
        </w:rPr>
        <w:t>完善公共卫生应急管理体系。</w:t>
      </w:r>
      <w:r>
        <w:rPr>
          <w:rFonts w:hint="eastAsia" w:ascii="Times New Roman" w:hAnsi="Times New Roman" w:eastAsia="仿宋_GB2312"/>
          <w:kern w:val="0"/>
          <w:sz w:val="30"/>
          <w:szCs w:val="30"/>
        </w:rPr>
        <w:t>加快建立公共卫生应急防护安全网，建设县域公共卫生应急指挥平台，打造专业化、数字化、现代化疾控体系，从源头预防和控制疾病，实现从以治病为中心转向以健康为中心。加强基层防疫体系建设，建立健全县防疫制度，推进公共卫生防控救治能力建设，充实疾病预防控制、精神卫生专业机构、妇幼健康和卫生计生综合监督机构人才队伍。建立健全县域统一的应急物资保障体系。</w:t>
      </w:r>
    </w:p>
    <w:p>
      <w:pPr>
        <w:snapToGrid w:val="0"/>
        <w:spacing w:line="560" w:lineRule="exact"/>
        <w:ind w:firstLine="602" w:firstLineChars="200"/>
        <w:rPr>
          <w:rFonts w:ascii="Times New Roman" w:hAnsi="Times New Roman" w:eastAsia="仿宋_GB2312"/>
          <w:kern w:val="0"/>
          <w:sz w:val="30"/>
          <w:szCs w:val="30"/>
        </w:rPr>
      </w:pPr>
      <w:r>
        <w:rPr>
          <w:rFonts w:hint="eastAsia" w:ascii="Times New Roman" w:hAnsi="Times New Roman" w:eastAsia="仿宋_GB2312"/>
          <w:b/>
          <w:bCs/>
          <w:kern w:val="0"/>
          <w:sz w:val="30"/>
          <w:szCs w:val="30"/>
        </w:rPr>
        <w:t>完善全民参保计划。</w:t>
      </w:r>
      <w:r>
        <w:rPr>
          <w:rFonts w:hint="eastAsia" w:ascii="Times New Roman" w:hAnsi="Times New Roman" w:eastAsia="仿宋_GB2312"/>
          <w:kern w:val="0"/>
          <w:sz w:val="30"/>
          <w:szCs w:val="30"/>
        </w:rPr>
        <w:t>以县户籍人口和外地户籍长期居住人员信息为基础，建立本地区全民参保数据库，精准锁定县户籍人口和常住人口中的未参保人群，形成本地区全民参保计划库。依法依规强化职工参保，以正常经营、正常纳税但尚未办理参保缴费以及未全员办理参保缴费的单位为重点对象，加大监察执法力度，逐步实现企业职工全员参保。完善个人参保缴费服务机制，与省基本医保参保信息管理系统对接，实现参保登记与参保缴费信息交互，实现乡镇（街道）、村（居）委会对辖区参保人员状态实时查询，精准确定本地区未参保人员，有针对性地加大参保缴费宣传力度,及时完成参保登记和缴费，努力实现全民参保。</w:t>
      </w:r>
    </w:p>
    <w:p>
      <w:pPr>
        <w:snapToGrid w:val="0"/>
        <w:spacing w:line="560" w:lineRule="exact"/>
        <w:ind w:firstLine="602" w:firstLineChars="200"/>
        <w:rPr>
          <w:rFonts w:ascii="Times New Roman" w:hAnsi="Times New Roman" w:eastAsia="仿宋_GB2312"/>
          <w:kern w:val="0"/>
          <w:sz w:val="30"/>
          <w:szCs w:val="30"/>
        </w:rPr>
      </w:pPr>
      <w:r>
        <w:rPr>
          <w:rFonts w:hint="eastAsia" w:ascii="Times New Roman" w:hAnsi="Times New Roman" w:eastAsia="仿宋_GB2312"/>
          <w:b/>
          <w:bCs/>
          <w:kern w:val="0"/>
          <w:sz w:val="30"/>
          <w:szCs w:val="30"/>
        </w:rPr>
        <w:t>持续加强医保基金监管。</w:t>
      </w:r>
      <w:r>
        <w:rPr>
          <w:rFonts w:hint="eastAsia" w:ascii="Times New Roman" w:hAnsi="Times New Roman" w:eastAsia="仿宋_GB2312"/>
          <w:kern w:val="0"/>
          <w:sz w:val="30"/>
          <w:szCs w:val="30"/>
        </w:rPr>
        <w:t>建立健全监督检查制度，推行“双随机、一公开”监管机制，建立和完善日常巡查、专项检查、重点检查、专家审查等相结合的多形式检查制度，明确检查对象、检查重点和检查内容，做到全覆盖、无死角。建立和完善医保智能监控系统，加强大数据应用，加强对定点医疗机构临床诊疗行为的引导和审核，强化事前、事中监管。不断完善药品、诊疗项目和医疗服务设施等基础信息标准库和临床指南等医学知识库，完善智能监控规则，提升智能监控功能。加大专业技术人才引入力度，强化业务培训，到2025年建立一支专业的基金监管队伍。</w:t>
      </w:r>
    </w:p>
    <w:p>
      <w:pPr>
        <w:spacing w:line="560" w:lineRule="exact"/>
        <w:ind w:firstLine="596" w:firstLineChars="198"/>
        <w:rPr>
          <w:rFonts w:ascii="Times New Roman" w:hAnsi="Times New Roman" w:eastAsia="仿宋_GB2312"/>
          <w:sz w:val="30"/>
          <w:szCs w:val="30"/>
        </w:rPr>
      </w:pPr>
      <w:r>
        <w:rPr>
          <w:rFonts w:hint="eastAsia" w:ascii="Times New Roman" w:hAnsi="Times New Roman" w:eastAsia="仿宋_GB2312"/>
          <w:b/>
          <w:bCs/>
          <w:sz w:val="30"/>
          <w:szCs w:val="30"/>
        </w:rPr>
        <w:t>加快推进智慧医疗建设。</w:t>
      </w:r>
      <w:r>
        <w:rPr>
          <w:rFonts w:hint="eastAsia" w:ascii="Times New Roman" w:hAnsi="Times New Roman" w:eastAsia="仿宋_GB2312"/>
          <w:sz w:val="30"/>
          <w:szCs w:val="30"/>
        </w:rPr>
        <w:t>大力推进医保信息化和标准化建设，按照全国统一的国家医保信息化建设部署及省医疗保障信息平台建设要求，统一医疗保障业务标准和技术标准，建立统一、高效、兼容、便捷、安全的医疗保障信息系统，实现医保电子凭证推广应用。</w:t>
      </w:r>
    </w:p>
    <w:p>
      <w:pPr>
        <w:spacing w:line="560" w:lineRule="exact"/>
        <w:ind w:firstLine="596" w:firstLineChars="198"/>
        <w:rPr>
          <w:rFonts w:ascii="Times New Roman" w:hAnsi="Times New Roman" w:eastAsia="仿宋_GB2312"/>
          <w:sz w:val="30"/>
          <w:szCs w:val="30"/>
        </w:rPr>
      </w:pPr>
      <w:r>
        <w:rPr>
          <w:rFonts w:hint="eastAsia" w:ascii="Times New Roman" w:hAnsi="Times New Roman" w:eastAsia="仿宋_GB2312"/>
          <w:b/>
          <w:bCs/>
          <w:sz w:val="30"/>
          <w:szCs w:val="30"/>
        </w:rPr>
        <w:t>深入推进支付方式改革。</w:t>
      </w:r>
      <w:r>
        <w:rPr>
          <w:rFonts w:hint="eastAsia" w:ascii="Times New Roman" w:hAnsi="Times New Roman" w:eastAsia="仿宋_GB2312"/>
          <w:sz w:val="30"/>
          <w:szCs w:val="30"/>
        </w:rPr>
        <w:t>完善医保基金总额预算办法，实行多元复合式支付方式改革，推广按疾病诊断相关分组付费，医疗康复、慢性精神疾病等长期住院按床日付费，门诊特殊慢性病按人头付费。探索推进疾病诊断相关分组（DRG）、基于大数据的病种（DIP）分值付费改革，探索对紧密型医疗联合体实行总额付费，实施更有效率的医保支付，更好保障参保人员权益。</w:t>
      </w:r>
    </w:p>
    <w:p>
      <w:pPr>
        <w:spacing w:line="560" w:lineRule="exact"/>
        <w:ind w:firstLine="596" w:firstLineChars="198"/>
        <w:rPr>
          <w:rFonts w:ascii="Times New Roman" w:hAnsi="Times New Roman" w:eastAsia="仿宋_GB2312"/>
          <w:sz w:val="30"/>
          <w:szCs w:val="30"/>
        </w:rPr>
      </w:pPr>
      <w:r>
        <w:rPr>
          <w:rFonts w:hint="eastAsia" w:ascii="Times New Roman" w:hAnsi="Times New Roman" w:eastAsia="仿宋_GB2312"/>
          <w:b/>
          <w:bCs/>
          <w:sz w:val="30"/>
          <w:szCs w:val="30"/>
        </w:rPr>
        <w:t>深化药品、医用耗材集中带量采购制度改革。</w:t>
      </w:r>
      <w:r>
        <w:rPr>
          <w:rFonts w:hint="eastAsia" w:ascii="Times New Roman" w:hAnsi="Times New Roman" w:eastAsia="仿宋_GB2312"/>
          <w:sz w:val="30"/>
          <w:szCs w:val="30"/>
        </w:rPr>
        <w:t>继续推进国家组织的药品集中带量采购，在试点的基础上逐步扩大采购品种，进一步降低药品采购价格。推进医用耗材综合治理，规范公立医疗机构医用耗材集中采购，在实现全市医用耗材同城同价的基础上探索集中带量采购，并逐步扩大品种范围，降低医疗成本。</w:t>
      </w:r>
    </w:p>
    <w:p>
      <w:pPr>
        <w:spacing w:line="560" w:lineRule="exact"/>
        <w:ind w:firstLine="596" w:firstLineChars="198"/>
        <w:rPr>
          <w:rFonts w:ascii="Times New Roman" w:hAnsi="Times New Roman" w:eastAsia="仿宋_GB2312" w:cstheme="majorBidi"/>
          <w:sz w:val="30"/>
          <w:szCs w:val="30"/>
        </w:rPr>
      </w:pPr>
      <w:r>
        <w:rPr>
          <w:rFonts w:hint="eastAsia" w:ascii="Times New Roman" w:hAnsi="Times New Roman" w:eastAsia="仿宋_GB2312" w:cstheme="majorBidi"/>
          <w:b/>
          <w:bCs/>
          <w:sz w:val="30"/>
          <w:szCs w:val="30"/>
        </w:rPr>
        <w:t>推动体育强县建设。</w:t>
      </w:r>
      <w:r>
        <w:rPr>
          <w:rFonts w:hint="eastAsia" w:ascii="Times New Roman" w:hAnsi="Times New Roman" w:eastAsia="仿宋_GB2312" w:cstheme="majorBidi"/>
          <w:sz w:val="30"/>
          <w:szCs w:val="30"/>
        </w:rPr>
        <w:t>构建更高水平的全民建设公共服务体系，谋划环夏邑运动建设休闲圈，打造生态型、郊野型运动休闲绿道，进一步完善城区</w:t>
      </w:r>
      <w:r>
        <w:rPr>
          <w:rFonts w:ascii="Times New Roman" w:hAnsi="Times New Roman" w:eastAsia="仿宋_GB2312" w:cstheme="majorBidi"/>
          <w:sz w:val="30"/>
          <w:szCs w:val="30"/>
        </w:rPr>
        <w:t>15</w:t>
      </w:r>
      <w:r>
        <w:rPr>
          <w:rFonts w:hint="eastAsia" w:ascii="Times New Roman" w:hAnsi="Times New Roman" w:eastAsia="仿宋_GB2312" w:cstheme="majorBidi"/>
          <w:sz w:val="30"/>
          <w:szCs w:val="30"/>
        </w:rPr>
        <w:t>分钟健身圈。引导中小学强化发展各具特色的体育项目。推进基层体育健身场所及设施建设，筹建夏邑县体育中心。加强优秀运动员培养，提升竞技体育发展水平。</w:t>
      </w:r>
    </w:p>
    <w:p>
      <w:pPr>
        <w:spacing w:before="120" w:after="120" w:line="560" w:lineRule="exact"/>
        <w:ind w:firstLine="640" w:firstLineChars="200"/>
        <w:outlineLvl w:val="1"/>
        <w:rPr>
          <w:rFonts w:ascii="Times New Roman" w:hAnsi="Times New Roman" w:eastAsia="楷体" w:cstheme="majorBidi"/>
          <w:sz w:val="32"/>
          <w:szCs w:val="32"/>
        </w:rPr>
      </w:pPr>
      <w:bookmarkStart w:id="125" w:name="_Toc65060547"/>
      <w:bookmarkStart w:id="126" w:name="_Toc59921213"/>
      <w:r>
        <w:rPr>
          <w:rFonts w:hint="eastAsia" w:ascii="Times New Roman" w:hAnsi="Times New Roman" w:eastAsia="楷体" w:cstheme="majorBidi"/>
          <w:sz w:val="32"/>
          <w:szCs w:val="32"/>
        </w:rPr>
        <w:t>（四）建立积极应对老龄化的服务体系</w:t>
      </w:r>
      <w:bookmarkEnd w:id="125"/>
      <w:bookmarkEnd w:id="126"/>
    </w:p>
    <w:p>
      <w:pPr>
        <w:snapToGrid w:val="0"/>
        <w:spacing w:line="560" w:lineRule="exact"/>
        <w:ind w:firstLine="602" w:firstLineChars="200"/>
        <w:rPr>
          <w:rFonts w:ascii="Times New Roman" w:hAnsi="Times New Roman" w:eastAsia="仿宋_GB2312"/>
          <w:bCs/>
          <w:kern w:val="0"/>
          <w:sz w:val="30"/>
          <w:szCs w:val="30"/>
        </w:rPr>
      </w:pPr>
      <w:r>
        <w:rPr>
          <w:rFonts w:hint="eastAsia" w:ascii="Times New Roman" w:hAnsi="Times New Roman" w:eastAsia="仿宋_GB2312"/>
          <w:b/>
          <w:kern w:val="0"/>
          <w:sz w:val="30"/>
          <w:szCs w:val="30"/>
        </w:rPr>
        <w:t>建设老年友好型社会。</w:t>
      </w:r>
      <w:r>
        <w:rPr>
          <w:rFonts w:hint="eastAsia" w:ascii="Times New Roman" w:hAnsi="Times New Roman" w:eastAsia="仿宋_GB2312"/>
          <w:bCs/>
          <w:kern w:val="0"/>
          <w:sz w:val="30"/>
          <w:szCs w:val="30"/>
        </w:rPr>
        <w:t>实施积极应对人口老龄化战略，建立健全人力资源开发、高质量老年产品供给、多元化老年服务、多层次老年保障、全民健康支持、老年社会环境等应对体系。以进一步提升老年人力资源开发和满足老年人精神文化追求为导向，建设老年（干部）大学。聚焦老年产品市场提质扩容，加强科技攻关，大力发展银发经济。构建养老、孝老、敬老的社会环境，强化应对人口老龄化的法治环境，保障老年人合法权益。构建家庭支持体系，形成老年人、家庭、社会、政府共同参与的良好氛围。</w:t>
      </w:r>
    </w:p>
    <w:p>
      <w:pPr>
        <w:snapToGrid w:val="0"/>
        <w:spacing w:line="560" w:lineRule="exact"/>
        <w:ind w:firstLine="602" w:firstLineChars="200"/>
        <w:rPr>
          <w:rFonts w:ascii="Times New Roman" w:hAnsi="Times New Roman" w:eastAsia="仿宋_GB2312"/>
          <w:kern w:val="0"/>
          <w:sz w:val="30"/>
          <w:szCs w:val="30"/>
        </w:rPr>
      </w:pPr>
      <w:r>
        <w:rPr>
          <w:rFonts w:hint="eastAsia" w:ascii="Times New Roman" w:hAnsi="Times New Roman" w:eastAsia="仿宋_GB2312"/>
          <w:b/>
          <w:kern w:val="0"/>
          <w:sz w:val="30"/>
          <w:szCs w:val="30"/>
        </w:rPr>
        <w:t>完善养老服务设施体系。</w:t>
      </w:r>
      <w:r>
        <w:rPr>
          <w:rFonts w:hint="eastAsia" w:ascii="Times New Roman" w:hAnsi="Times New Roman" w:eastAsia="仿宋_GB2312"/>
          <w:bCs/>
          <w:kern w:val="0"/>
          <w:sz w:val="30"/>
          <w:szCs w:val="30"/>
        </w:rPr>
        <w:t>加快建设居家社区机构相协调、医养康养相结合的养老服务体系。进一步提升公办养老机构服务能力，发展集中管理运营的社区嵌入式、分布式、小型化的养老服务设施，增加家庭服务功能。</w:t>
      </w:r>
      <w:r>
        <w:rPr>
          <w:rFonts w:hint="eastAsia" w:ascii="Times New Roman" w:hAnsi="Times New Roman" w:eastAsia="仿宋_GB2312"/>
          <w:kern w:val="0"/>
          <w:sz w:val="30"/>
          <w:szCs w:val="30"/>
        </w:rPr>
        <w:t>突出积极健康的老龄化发展导向，着力增加养老服务供给，鼓励民间资本积极参与养老机构建设。完善农村社区机构养老、社区养老、居家养老服务体系，建立“智慧养老”信息平台，引导养老机构、医疗机构等上门为老服务。新建一批示范型居家养老服务中心，实现镇级居家养老服务中心全覆盖。</w:t>
      </w:r>
    </w:p>
    <w:p>
      <w:pPr>
        <w:snapToGrid w:val="0"/>
        <w:spacing w:line="560" w:lineRule="exact"/>
        <w:ind w:firstLine="602" w:firstLineChars="200"/>
        <w:rPr>
          <w:rFonts w:ascii="Times New Roman" w:hAnsi="Times New Roman" w:eastAsia="仿宋_GB2312"/>
          <w:kern w:val="0"/>
          <w:sz w:val="30"/>
          <w:szCs w:val="30"/>
        </w:rPr>
      </w:pPr>
      <w:r>
        <w:rPr>
          <w:rFonts w:hint="eastAsia" w:ascii="Times New Roman" w:hAnsi="Times New Roman" w:eastAsia="仿宋_GB2312"/>
          <w:b/>
          <w:kern w:val="0"/>
          <w:sz w:val="30"/>
          <w:szCs w:val="30"/>
        </w:rPr>
        <w:t>提升医养结合的养老服务水平。</w:t>
      </w:r>
      <w:r>
        <w:rPr>
          <w:rFonts w:hint="eastAsia" w:ascii="Times New Roman" w:hAnsi="Times New Roman" w:eastAsia="仿宋_GB2312"/>
          <w:kern w:val="0"/>
          <w:sz w:val="30"/>
          <w:szCs w:val="30"/>
        </w:rPr>
        <w:t>积极发展集医疗、康复、护理以及生活照料等为一体的健康养老服务。结合社区基层医疗服务建设，推进老旧小区和家庭“适老化改造”，借鉴先行地区经验，积极推广“智慧养老街道”等先进社区养老模式。推动居家养老服务转型升级，探索建立以“照护专员”为主体的照护管理体系。鼓励发展农村养老服务业，积极引导社会多元化参与，开发多种符合老人需求的居家养老服务项目，探索长期护理保险制度体系建设。</w:t>
      </w:r>
    </w:p>
    <w:p>
      <w:pPr>
        <w:spacing w:before="120" w:after="120" w:line="560" w:lineRule="exact"/>
        <w:ind w:firstLine="640" w:firstLineChars="200"/>
        <w:outlineLvl w:val="1"/>
        <w:rPr>
          <w:rFonts w:ascii="Times New Roman" w:hAnsi="Times New Roman" w:eastAsia="楷体" w:cstheme="majorBidi"/>
          <w:sz w:val="32"/>
          <w:szCs w:val="32"/>
        </w:rPr>
      </w:pPr>
      <w:bookmarkStart w:id="127" w:name="_Toc65060548"/>
      <w:bookmarkStart w:id="128" w:name="_Toc59921214"/>
      <w:r>
        <w:rPr>
          <w:rFonts w:hint="eastAsia" w:ascii="Times New Roman" w:hAnsi="Times New Roman" w:eastAsia="楷体" w:cstheme="majorBidi"/>
          <w:sz w:val="32"/>
          <w:szCs w:val="32"/>
        </w:rPr>
        <w:t>（五）让各类人群拥有更好的生活</w:t>
      </w:r>
      <w:bookmarkEnd w:id="127"/>
      <w:bookmarkEnd w:id="128"/>
    </w:p>
    <w:p>
      <w:pPr>
        <w:snapToGrid w:val="0"/>
        <w:spacing w:line="560" w:lineRule="exact"/>
        <w:ind w:firstLine="602" w:firstLineChars="200"/>
        <w:rPr>
          <w:rFonts w:ascii="Times New Roman" w:hAnsi="Times New Roman" w:eastAsia="仿宋_GB2312"/>
          <w:kern w:val="0"/>
          <w:sz w:val="30"/>
          <w:szCs w:val="30"/>
        </w:rPr>
      </w:pPr>
      <w:r>
        <w:rPr>
          <w:rFonts w:hint="eastAsia" w:ascii="Times New Roman" w:hAnsi="Times New Roman" w:eastAsia="仿宋_GB2312"/>
          <w:b/>
          <w:bCs/>
          <w:kern w:val="0"/>
          <w:sz w:val="30"/>
          <w:szCs w:val="30"/>
        </w:rPr>
        <w:t>引导人口中长期稳定均衡发展。</w:t>
      </w:r>
      <w:r>
        <w:rPr>
          <w:rFonts w:hint="eastAsia" w:ascii="Times New Roman" w:hAnsi="Times New Roman" w:eastAsia="仿宋_GB2312"/>
          <w:kern w:val="0"/>
          <w:sz w:val="30"/>
          <w:szCs w:val="30"/>
        </w:rPr>
        <w:t>强化人口发展的战略地位和基础作用，加强人口均衡的正向调节，聚力提升人口素质、优化人口结构、促进人口合理分布。到</w:t>
      </w:r>
      <w:r>
        <w:rPr>
          <w:rFonts w:ascii="Times New Roman" w:hAnsi="Times New Roman" w:eastAsia="仿宋_GB2312"/>
          <w:kern w:val="0"/>
          <w:sz w:val="30"/>
          <w:szCs w:val="30"/>
        </w:rPr>
        <w:t>2025</w:t>
      </w:r>
      <w:r>
        <w:rPr>
          <w:rFonts w:hint="eastAsia" w:ascii="Times New Roman" w:hAnsi="Times New Roman" w:eastAsia="仿宋_GB2312"/>
          <w:kern w:val="0"/>
          <w:sz w:val="30"/>
          <w:szCs w:val="30"/>
        </w:rPr>
        <w:t>年，常住人口总量争取达到</w:t>
      </w:r>
      <w:r>
        <w:rPr>
          <w:rFonts w:hint="eastAsia" w:ascii="Times New Roman" w:hAnsi="Times New Roman" w:eastAsia="仿宋_GB2312"/>
          <w:kern w:val="0"/>
          <w:sz w:val="30"/>
          <w:szCs w:val="30"/>
          <w:lang w:val="en-US" w:eastAsia="zh-CN"/>
        </w:rPr>
        <w:t>95</w:t>
      </w:r>
      <w:r>
        <w:rPr>
          <w:rFonts w:hint="eastAsia" w:ascii="Times New Roman" w:hAnsi="Times New Roman" w:eastAsia="仿宋_GB2312"/>
          <w:kern w:val="0"/>
          <w:sz w:val="30"/>
          <w:szCs w:val="30"/>
        </w:rPr>
        <w:t>万。加快完善生育友好型政策，千方百计降低生育和养育的经济成本，扩大生育险在“非职工”和农村的覆盖范围，完善育儿休假制度，稳定人口的自然增长。大力推进外出人口返乡，完善公共服务配套，加快深化与长三角等外出人口集聚地的信息互通、培训互认等，不断提升对外出人口回归的吸引力。着力提升人口素质，积极开展职业技能培训，加大资金支持、场地供给，加快提升劳动者职业和技能水平。积极建立人口数字化教育资源库，利用多源数据强化地方人口流动监测，提高对人口管理的实效性和科学性。</w:t>
      </w:r>
    </w:p>
    <w:p>
      <w:pPr>
        <w:snapToGrid w:val="0"/>
        <w:spacing w:line="560" w:lineRule="exact"/>
        <w:ind w:firstLine="602" w:firstLineChars="200"/>
        <w:rPr>
          <w:rFonts w:ascii="Times New Roman" w:hAnsi="Times New Roman" w:eastAsia="仿宋_GB2312"/>
          <w:kern w:val="0"/>
          <w:sz w:val="30"/>
          <w:szCs w:val="30"/>
        </w:rPr>
      </w:pPr>
      <w:r>
        <w:rPr>
          <w:rFonts w:hint="eastAsia" w:ascii="Times New Roman" w:hAnsi="Times New Roman" w:eastAsia="仿宋_GB2312"/>
          <w:b/>
          <w:bCs/>
          <w:kern w:val="0"/>
          <w:sz w:val="30"/>
          <w:szCs w:val="30"/>
        </w:rPr>
        <w:t>加强妇女儿童权益保护。</w:t>
      </w:r>
      <w:r>
        <w:rPr>
          <w:rFonts w:hint="eastAsia" w:ascii="Times New Roman" w:hAnsi="Times New Roman" w:eastAsia="仿宋_GB2312"/>
          <w:kern w:val="0"/>
          <w:sz w:val="30"/>
          <w:szCs w:val="30"/>
        </w:rPr>
        <w:t>推进妇女儿童全面健康发展。坚持男女平等基本国策，保障妇女儿童合法权益，注重家庭家教家风建设，进一步优化妇女儿童在政治、经济、文化、社会等方面的发展环境，推进妇女儿童在经济参与、政治与社会参与、身心健康、科教文化、福利保障、权益保护等方面获得更加平等、优先的发展，全面提升妇女儿童的生活质量和幸福指数。完善促进更多妇女创业带动就业、多渠道灵活就业的保障制度，支持和规范发展新就业形态，实现更加充分更高质量就业。发展普惠托育服务体系和完善普惠性学前教育保障机制，建立多样化、多层次的综合性服务框架。建立托育服务机构从业人员的职业资格准入制度，不断提高人员职业素养和服务水准。</w:t>
      </w:r>
    </w:p>
    <w:p>
      <w:pPr>
        <w:snapToGrid w:val="0"/>
        <w:spacing w:line="560" w:lineRule="exact"/>
        <w:ind w:firstLine="602" w:firstLineChars="200"/>
        <w:rPr>
          <w:rFonts w:ascii="Times New Roman" w:hAnsi="Times New Roman" w:eastAsia="仿宋_GB2312"/>
          <w:kern w:val="0"/>
          <w:sz w:val="30"/>
          <w:szCs w:val="30"/>
        </w:rPr>
      </w:pPr>
      <w:r>
        <w:rPr>
          <w:rFonts w:hint="eastAsia" w:ascii="Times New Roman" w:hAnsi="Times New Roman" w:eastAsia="仿宋_GB2312"/>
          <w:b/>
          <w:bCs/>
          <w:kern w:val="0"/>
          <w:sz w:val="30"/>
          <w:szCs w:val="30"/>
        </w:rPr>
        <w:t>完善退役军人管理与服务。</w:t>
      </w:r>
      <w:r>
        <w:rPr>
          <w:rFonts w:hint="eastAsia" w:ascii="Times New Roman" w:hAnsi="Times New Roman" w:eastAsia="仿宋_GB2312"/>
          <w:kern w:val="0"/>
          <w:sz w:val="30"/>
          <w:szCs w:val="30"/>
        </w:rPr>
        <w:t>健全退役军人组织管理、工作运行和政策制度体系，构建退役军人全生命周期服务管理新模式。健全退役军人管理保障体系，加强困难退役军人帮扶援助工作，不断提高救急济难水平。加强主题教育宣传及思想政治教育引导，开展学习宣传退役军人先进典型活动，在重要节日和纪念日开展烈士纪念活动。</w:t>
      </w:r>
    </w:p>
    <w:p>
      <w:pPr>
        <w:snapToGrid w:val="0"/>
        <w:spacing w:line="560" w:lineRule="exact"/>
        <w:ind w:firstLine="602" w:firstLineChars="200"/>
        <w:rPr>
          <w:rFonts w:ascii="Times New Roman" w:hAnsi="Times New Roman" w:eastAsia="仿宋_GB2312"/>
          <w:kern w:val="0"/>
          <w:sz w:val="30"/>
          <w:szCs w:val="30"/>
        </w:rPr>
      </w:pPr>
      <w:r>
        <w:rPr>
          <w:rFonts w:hint="eastAsia" w:ascii="Times New Roman" w:hAnsi="Times New Roman" w:eastAsia="仿宋_GB2312"/>
          <w:b/>
          <w:bCs/>
          <w:kern w:val="0"/>
          <w:sz w:val="30"/>
          <w:szCs w:val="30"/>
        </w:rPr>
        <w:t>健全残疾人保障和服务体系。</w:t>
      </w:r>
      <w:r>
        <w:rPr>
          <w:rFonts w:hint="eastAsia" w:ascii="Times New Roman" w:hAnsi="Times New Roman" w:eastAsia="仿宋_GB2312"/>
          <w:kern w:val="0"/>
          <w:sz w:val="30"/>
          <w:szCs w:val="30"/>
        </w:rPr>
        <w:t>建设新时代社会救助体系，加强残疾人就业培训和帮扶。健全“普惠</w:t>
      </w:r>
      <w:r>
        <w:rPr>
          <w:rFonts w:ascii="Times New Roman" w:hAnsi="Times New Roman" w:eastAsia="仿宋_GB2312"/>
          <w:kern w:val="0"/>
          <w:sz w:val="30"/>
          <w:szCs w:val="30"/>
        </w:rPr>
        <w:t>+</w:t>
      </w:r>
      <w:r>
        <w:rPr>
          <w:rFonts w:hint="eastAsia" w:ascii="Times New Roman" w:hAnsi="Times New Roman" w:eastAsia="仿宋_GB2312"/>
          <w:kern w:val="0"/>
          <w:sz w:val="30"/>
          <w:szCs w:val="30"/>
        </w:rPr>
        <w:t>特惠”残疾人基本保障制度，构建高质量福利保障体系和精准化公共服务体系。完善特殊教育，加强特殊教育学前和高中段学校建设，进一步推动特教与普教融合。加强残疾人康复托养服务设施建设，系统推进公共服务场所、公共交通无障碍设施规范化建设。</w:t>
      </w:r>
    </w:p>
    <w:p>
      <w:pPr>
        <w:snapToGrid w:val="0"/>
        <w:spacing w:line="560" w:lineRule="exact"/>
        <w:ind w:firstLine="600" w:firstLineChars="200"/>
        <w:rPr>
          <w:rFonts w:ascii="Times New Roman" w:hAnsi="Times New Roman" w:eastAsia="仿宋_GB2312"/>
          <w:kern w:val="0"/>
          <w:sz w:val="30"/>
          <w:szCs w:val="30"/>
        </w:rPr>
        <w:sectPr>
          <w:pgSz w:w="11906" w:h="16838"/>
          <w:pgMar w:top="1440" w:right="1800" w:bottom="1440" w:left="1800" w:header="851" w:footer="992" w:gutter="0"/>
          <w:cols w:space="425" w:num="1"/>
          <w:docGrid w:type="lines" w:linePitch="312" w:charSpace="0"/>
        </w:sectPr>
      </w:pPr>
    </w:p>
    <w:p>
      <w:pPr>
        <w:spacing w:before="156" w:beforeLines="50" w:after="156" w:afterLines="50"/>
        <w:ind w:firstLine="640" w:firstLineChars="200"/>
        <w:outlineLvl w:val="0"/>
        <w:rPr>
          <w:rFonts w:ascii="Times New Roman" w:hAnsi="Times New Roman" w:eastAsia="黑体" w:cs="Times New Roman"/>
          <w:sz w:val="32"/>
          <w:szCs w:val="32"/>
        </w:rPr>
      </w:pPr>
      <w:bookmarkStart w:id="129" w:name="_Toc65060549"/>
      <w:bookmarkStart w:id="130" w:name="_Toc59921215"/>
      <w:r>
        <w:rPr>
          <w:rFonts w:hint="eastAsia" w:ascii="Times New Roman" w:hAnsi="Times New Roman" w:eastAsia="黑体" w:cs="Times New Roman"/>
          <w:sz w:val="32"/>
          <w:szCs w:val="32"/>
        </w:rPr>
        <w:t>十一、全面打造文化强县名片，构建现代化文明展示新窗口</w:t>
      </w:r>
      <w:bookmarkEnd w:id="129"/>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坚持以文化人、以文惠民、以文兴城、成风化俗，坚定文化自信，推进优秀文化传承和创新，积极培育文化新业态，打造多元包容的文化服务体系，全面增强文化软实力和影响力。</w:t>
      </w:r>
    </w:p>
    <w:p>
      <w:pPr>
        <w:spacing w:before="120" w:after="120" w:line="560" w:lineRule="exact"/>
        <w:ind w:firstLine="640" w:firstLineChars="200"/>
        <w:outlineLvl w:val="1"/>
        <w:rPr>
          <w:rFonts w:ascii="Times New Roman" w:hAnsi="Times New Roman" w:eastAsia="楷体" w:cstheme="majorBidi"/>
          <w:sz w:val="32"/>
          <w:szCs w:val="32"/>
        </w:rPr>
      </w:pPr>
      <w:bookmarkStart w:id="131" w:name="_Toc65060550"/>
      <w:r>
        <w:rPr>
          <w:rFonts w:hint="eastAsia" w:ascii="Times New Roman" w:hAnsi="Times New Roman" w:eastAsia="楷体" w:cstheme="majorBidi"/>
          <w:sz w:val="32"/>
          <w:szCs w:val="32"/>
        </w:rPr>
        <w:t>（一）全面提升社会文明程度</w:t>
      </w:r>
      <w:bookmarkEnd w:id="131"/>
    </w:p>
    <w:p>
      <w:pPr>
        <w:spacing w:line="560" w:lineRule="exact"/>
        <w:ind w:firstLine="596" w:firstLineChars="198"/>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强化思想舆论阵地建设。</w:t>
      </w:r>
      <w:r>
        <w:rPr>
          <w:rFonts w:hint="eastAsia" w:ascii="Times New Roman" w:hAnsi="Times New Roman" w:eastAsia="仿宋_GB2312" w:cs="Times New Roman"/>
          <w:sz w:val="30"/>
          <w:szCs w:val="30"/>
        </w:rPr>
        <w:t>深入开展习近平新时代中国特色社会主义思想学习教育，推动理想信念教育常态化制度化。坚持党管媒体，坚持正确舆论宣传导向，加强新闻队伍建设。加快媒体深度融合，建好用好县融媒体中心，引导自媒体、新媒体健康发展。依法管网治网，做大做强网络正面宣传，加强舆情监控和网络舆论引导。</w:t>
      </w:r>
    </w:p>
    <w:p>
      <w:pPr>
        <w:spacing w:line="560" w:lineRule="exact"/>
        <w:ind w:firstLine="596" w:firstLineChars="198"/>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培育地方人文价值体系。</w:t>
      </w:r>
      <w:r>
        <w:rPr>
          <w:rFonts w:hint="eastAsia" w:ascii="Times New Roman" w:hAnsi="Times New Roman" w:eastAsia="仿宋_GB2312" w:cs="Times New Roman"/>
          <w:sz w:val="30"/>
          <w:szCs w:val="30"/>
        </w:rPr>
        <w:t>深入培育和践行社会主义核心价值观，积极宣传敢为人先、勇往直前的创新创业精神，秉性刚直、坚韧不拔的人文气质，和衷共济、团结奋进的共商品质，引导创作一批现实题材的优秀文艺作品，凝聚传播具有夏邑地方特色的人文价值观。建好用好新时代文明实践中心，建立健全县、乡、村三级志愿服务体系，深入开展各类志愿服务活动。开展社会文明行动，加强文明行为劝导，深化乡风文明行动，大力开展移风易俗，全力争创全省、全国文明城市。</w:t>
      </w:r>
    </w:p>
    <w:p>
      <w:pPr>
        <w:spacing w:line="560" w:lineRule="exact"/>
        <w:ind w:firstLine="596" w:firstLineChars="198"/>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提升公民的文明素质。</w:t>
      </w:r>
      <w:r>
        <w:rPr>
          <w:rFonts w:hint="eastAsia" w:ascii="Times New Roman" w:hAnsi="Times New Roman" w:eastAsia="仿宋_GB2312" w:cs="Times New Roman"/>
          <w:sz w:val="30"/>
          <w:szCs w:val="30"/>
        </w:rPr>
        <w:t>深入推进公民道德建设、志愿服务建设、诚信社会建设、网络文明建设，提高广大人民群众的道德水准和文明素养。加强时代楷模宣传，推进基层宣传思想文化工作，创新发展乡贤文化、孝善文化。深入实施新时代公民道德建设行动，深化拓展群众性精神文明创建，全力激发干部群众干事创业热情。实施市民素质提升行动，开展主题宣传教育，推动形成艰苦奋斗、勤俭节约的社会风尚。</w:t>
      </w:r>
    </w:p>
    <w:p>
      <w:pPr>
        <w:spacing w:before="120" w:after="120" w:line="560" w:lineRule="exact"/>
        <w:ind w:firstLine="640" w:firstLineChars="200"/>
        <w:outlineLvl w:val="1"/>
        <w:rPr>
          <w:rFonts w:ascii="Times New Roman" w:hAnsi="Times New Roman" w:eastAsia="楷体" w:cstheme="majorBidi"/>
          <w:sz w:val="32"/>
          <w:szCs w:val="32"/>
        </w:rPr>
      </w:pPr>
      <w:bookmarkStart w:id="132" w:name="_Toc65060551"/>
      <w:r>
        <w:rPr>
          <w:rFonts w:hint="eastAsia" w:ascii="Times New Roman" w:hAnsi="Times New Roman" w:eastAsia="楷体" w:cstheme="majorBidi"/>
          <w:sz w:val="32"/>
          <w:szCs w:val="32"/>
        </w:rPr>
        <w:t>（二）精心打造夏邑两大“会客厅”，合力打造“三驾马车”</w:t>
      </w:r>
      <w:bookmarkEnd w:id="132"/>
    </w:p>
    <w:p>
      <w:pPr>
        <w:spacing w:line="560" w:lineRule="exact"/>
        <w:ind w:firstLine="594" w:firstLineChars="198"/>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按照“规划统领、特色凸显、重点推进、分期实施、保护创新”发展思路，精心打造孔子祖籍文化、天龙湖城郭文化两大“会客厅”和“大运河文化旅游景区”、“彭雪枫将军殉难地红色旅游区”、“长寿之乡旅游景区”</w:t>
      </w:r>
      <w:r>
        <w:rPr>
          <w:rFonts w:hint="eastAsia"/>
        </w:rPr>
        <w:t xml:space="preserve"> </w:t>
      </w:r>
      <w:r>
        <w:rPr>
          <w:rFonts w:hint="eastAsia" w:ascii="Times New Roman" w:hAnsi="Times New Roman" w:eastAsia="仿宋_GB2312" w:cs="Times New Roman"/>
          <w:sz w:val="30"/>
          <w:szCs w:val="30"/>
        </w:rPr>
        <w:t>文旅融合发展“三驾马车”。</w:t>
      </w:r>
    </w:p>
    <w:p>
      <w:pPr>
        <w:spacing w:line="560" w:lineRule="exact"/>
        <w:ind w:firstLine="596" w:firstLineChars="198"/>
        <w:rPr>
          <w:rFonts w:ascii="Times New Roman" w:hAnsi="Times New Roman" w:eastAsia="仿宋_GB2312" w:cs="Times New Roman"/>
          <w:sz w:val="30"/>
          <w:szCs w:val="30"/>
        </w:rPr>
      </w:pPr>
      <w:r>
        <w:rPr>
          <w:rFonts w:hint="eastAsia" w:ascii="Times New Roman" w:hAnsi="Times New Roman" w:eastAsia="仿宋_GB2312" w:cs="Times New Roman"/>
          <w:b/>
          <w:bCs/>
          <w:sz w:val="30"/>
          <w:szCs w:val="30"/>
        </w:rPr>
        <w:t>孔子祖籍文化。</w:t>
      </w:r>
      <w:r>
        <w:rPr>
          <w:rFonts w:hint="eastAsia" w:ascii="Times New Roman" w:hAnsi="Times New Roman" w:eastAsia="仿宋_GB2312" w:cs="Times New Roman"/>
          <w:sz w:val="30"/>
          <w:szCs w:val="30"/>
        </w:rPr>
        <w:t>孔祖文化为儒家文化的基石，精心打造“儒家文化的寻根之旅”。一是新建孔子文化苑。重点展示孔祖文化，宣示孔祖文化为儒家文化之根之源；二是建成孔子还乡祠生态旅游区。占地6000亩，围绕孔子还乡祠做好文物保护利用这篇大文章，打造我县第一“会客厅”。</w:t>
      </w:r>
    </w:p>
    <w:p>
      <w:pPr>
        <w:spacing w:line="560" w:lineRule="exact"/>
        <w:ind w:firstLine="596" w:firstLineChars="198"/>
        <w:rPr>
          <w:rFonts w:ascii="Times New Roman" w:hAnsi="Times New Roman" w:eastAsia="仿宋_GB2312" w:cs="Times New Roman"/>
          <w:sz w:val="30"/>
          <w:szCs w:val="30"/>
        </w:rPr>
      </w:pPr>
      <w:r>
        <w:rPr>
          <w:rFonts w:hint="eastAsia" w:ascii="Times New Roman" w:hAnsi="Times New Roman" w:eastAsia="仿宋_GB2312" w:cs="Times New Roman"/>
          <w:b/>
          <w:bCs/>
          <w:sz w:val="30"/>
          <w:szCs w:val="30"/>
        </w:rPr>
        <w:t>天龙湖城郭文化公园。</w:t>
      </w:r>
      <w:r>
        <w:rPr>
          <w:rFonts w:hint="eastAsia" w:ascii="Times New Roman" w:hAnsi="Times New Roman" w:eastAsia="仿宋_GB2312" w:cs="Times New Roman"/>
          <w:sz w:val="30"/>
          <w:szCs w:val="30"/>
        </w:rPr>
        <w:t>天龙湖“八块水”在战国时期就有雏形，天龙湖城郭文化承载着夏邑沉甸甸的记忆。精心弘扬好天龙湖城郭文化，使其成为我县第二“会客厅”。</w:t>
      </w:r>
    </w:p>
    <w:p>
      <w:pPr>
        <w:spacing w:line="560" w:lineRule="exact"/>
        <w:ind w:firstLine="596" w:firstLineChars="198"/>
        <w:rPr>
          <w:rFonts w:ascii="Times New Roman" w:hAnsi="Times New Roman" w:eastAsia="仿宋_GB2312" w:cs="Times New Roman"/>
          <w:sz w:val="30"/>
          <w:szCs w:val="30"/>
        </w:rPr>
      </w:pPr>
      <w:r>
        <w:rPr>
          <w:rFonts w:hint="eastAsia" w:ascii="Times New Roman" w:hAnsi="Times New Roman" w:eastAsia="仿宋_GB2312" w:cs="Times New Roman"/>
          <w:b/>
          <w:bCs/>
          <w:sz w:val="30"/>
          <w:szCs w:val="30"/>
        </w:rPr>
        <w:t>大运河文化旅游景区。</w:t>
      </w:r>
      <w:r>
        <w:rPr>
          <w:rFonts w:hint="eastAsia" w:ascii="Times New Roman" w:hAnsi="Times New Roman" w:eastAsia="仿宋_GB2312" w:cs="Times New Roman"/>
          <w:sz w:val="30"/>
          <w:szCs w:val="30"/>
        </w:rPr>
        <w:t>利用好“世界文化遗产”、“商丘市唯一运河遗址展示地”这一独特优势，围绕核心保护区，建成占地1.5万亩，包括运河文化展示区，隋唐小镇休闲区、绿野小韵游憩带、康体养生度假区、乡村风情体验区、现代农业示范区等功能区的“运河文化旅游景区”。</w:t>
      </w:r>
    </w:p>
    <w:p>
      <w:pPr>
        <w:spacing w:line="560" w:lineRule="exact"/>
        <w:ind w:firstLine="596" w:firstLineChars="198"/>
        <w:rPr>
          <w:rFonts w:ascii="Times New Roman" w:hAnsi="Times New Roman" w:eastAsia="仿宋_GB2312" w:cs="Times New Roman"/>
          <w:sz w:val="30"/>
          <w:szCs w:val="30"/>
        </w:rPr>
      </w:pPr>
      <w:r>
        <w:rPr>
          <w:rFonts w:hint="eastAsia" w:ascii="Times New Roman" w:hAnsi="Times New Roman" w:eastAsia="仿宋_GB2312" w:cs="Times New Roman"/>
          <w:b/>
          <w:bCs/>
          <w:sz w:val="30"/>
          <w:szCs w:val="30"/>
        </w:rPr>
        <w:t>彭雪枫将军殉难地红色旅游景区。</w:t>
      </w:r>
      <w:r>
        <w:rPr>
          <w:rFonts w:hint="eastAsia" w:ascii="Times New Roman" w:hAnsi="Times New Roman" w:eastAsia="仿宋_GB2312" w:cs="Times New Roman"/>
          <w:sz w:val="30"/>
          <w:szCs w:val="30"/>
        </w:rPr>
        <w:t>围绕彭雪枫将军纪念馆建设“彭雪枫将军殉难地红色旅游景区”，加强与青少年思想道德建设、弘扬革命传统、培育民族精神等相结合，打造爱国主义教育基地。</w:t>
      </w:r>
    </w:p>
    <w:p>
      <w:pPr>
        <w:spacing w:line="560" w:lineRule="exact"/>
        <w:ind w:firstLine="596" w:firstLineChars="198"/>
        <w:rPr>
          <w:rFonts w:ascii="Times New Roman" w:hAnsi="Times New Roman" w:eastAsia="仿宋_GB2312" w:cs="Times New Roman"/>
          <w:sz w:val="30"/>
          <w:szCs w:val="30"/>
        </w:rPr>
      </w:pPr>
      <w:r>
        <w:rPr>
          <w:rFonts w:hint="eastAsia" w:ascii="Times New Roman" w:hAnsi="Times New Roman" w:eastAsia="仿宋_GB2312" w:cs="Times New Roman"/>
          <w:b/>
          <w:bCs/>
          <w:sz w:val="30"/>
          <w:szCs w:val="30"/>
        </w:rPr>
        <w:t>长寿之乡系列文化景区。</w:t>
      </w:r>
      <w:r>
        <w:rPr>
          <w:rFonts w:hint="eastAsia" w:ascii="Times New Roman" w:hAnsi="Times New Roman" w:eastAsia="仿宋_GB2312" w:cs="Times New Roman"/>
          <w:sz w:val="30"/>
          <w:szCs w:val="30"/>
        </w:rPr>
        <w:t>整合长寿苑文化旅游景区、两河口湿地公园、天龙湖文化旅游景区及乡镇民俗景点，完善基础设施，增加长寿元素，打造中老年人为主要对象的“长寿之乡”，发展“长寿之旅”。</w:t>
      </w:r>
    </w:p>
    <w:p>
      <w:pPr>
        <w:spacing w:before="120" w:after="120" w:line="560" w:lineRule="exact"/>
        <w:ind w:firstLine="640" w:firstLineChars="200"/>
        <w:outlineLvl w:val="1"/>
        <w:rPr>
          <w:rFonts w:ascii="Times New Roman" w:hAnsi="Times New Roman" w:eastAsia="楷体" w:cstheme="majorBidi"/>
          <w:sz w:val="32"/>
          <w:szCs w:val="32"/>
        </w:rPr>
      </w:pPr>
      <w:bookmarkStart w:id="133" w:name="_Toc65060552"/>
      <w:r>
        <w:rPr>
          <w:rFonts w:hint="eastAsia" w:ascii="Times New Roman" w:hAnsi="Times New Roman" w:eastAsia="楷体" w:cstheme="majorBidi"/>
          <w:sz w:val="32"/>
          <w:szCs w:val="32"/>
        </w:rPr>
        <w:t>（三）传承创新夏邑特色文化基因</w:t>
      </w:r>
      <w:bookmarkEnd w:id="133"/>
    </w:p>
    <w:p>
      <w:pPr>
        <w:spacing w:line="560" w:lineRule="exact"/>
        <w:ind w:firstLine="66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全面实施文化解码工程。</w:t>
      </w:r>
      <w:r>
        <w:rPr>
          <w:rFonts w:hint="eastAsia" w:ascii="Times New Roman" w:hAnsi="Times New Roman" w:eastAsia="仿宋_GB2312" w:cs="Times New Roman"/>
          <w:sz w:val="30"/>
          <w:szCs w:val="30"/>
        </w:rPr>
        <w:t>围绕孔子祖籍地、龙山文化、古都栗城、大运河世界文化遗产、彭雪枫将军纪念馆、长寿之乡、知青文化园等庞大文化资源，推动县城、乡镇（街道）、村（社区）等区域开展文化基因解码。系统梳理城市人文记忆，提炼展示优秀的传统文化和先进文化精髓，以优质文化基因推动公共服务、文艺创作、传承利用等工作。加强夏邑百年老字号品牌挖掘，实施传统工艺保护振兴计划；持续打造孔祖文化、长寿文化品牌。</w:t>
      </w:r>
    </w:p>
    <w:p>
      <w:pPr>
        <w:spacing w:line="560" w:lineRule="exact"/>
        <w:ind w:firstLine="66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创新拓展特色文化产业。</w:t>
      </w:r>
      <w:r>
        <w:rPr>
          <w:rFonts w:hint="eastAsia" w:ascii="Times New Roman" w:hAnsi="Times New Roman" w:eastAsia="仿宋_GB2312" w:cs="Times New Roman"/>
          <w:sz w:val="30"/>
          <w:szCs w:val="30"/>
        </w:rPr>
        <w:t>采用数字化、产品化等手段，打造名人、名品、名居等龙头文化品牌，建立具有夏邑特色的文化资源库、文化产品线，策划举办夏邑文化展会、艺术交流会，引导文化特质走出省域、走向世界。引导文化机构和旅游企业对接合作，培育一批具有较强竞争力的文旅领军企业。</w:t>
      </w:r>
    </w:p>
    <w:p>
      <w:pPr>
        <w:spacing w:before="120" w:after="120" w:line="560" w:lineRule="exact"/>
        <w:ind w:firstLine="640" w:firstLineChars="200"/>
        <w:outlineLvl w:val="1"/>
        <w:rPr>
          <w:rFonts w:ascii="Times New Roman" w:hAnsi="Times New Roman" w:eastAsia="楷体" w:cstheme="majorBidi"/>
          <w:sz w:val="32"/>
          <w:szCs w:val="32"/>
        </w:rPr>
      </w:pPr>
      <w:bookmarkStart w:id="134" w:name="_Toc65060553"/>
      <w:r>
        <w:rPr>
          <w:rFonts w:hint="eastAsia" w:ascii="Times New Roman" w:hAnsi="Times New Roman" w:eastAsia="楷体" w:cstheme="majorBidi"/>
          <w:sz w:val="32"/>
          <w:szCs w:val="32"/>
        </w:rPr>
        <w:t>（四）提升公共文化服务水平</w:t>
      </w:r>
      <w:bookmarkEnd w:id="134"/>
    </w:p>
    <w:p>
      <w:pPr>
        <w:spacing w:line="560" w:lineRule="exac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推进文化服务标准化建设。</w:t>
      </w:r>
      <w:r>
        <w:rPr>
          <w:rFonts w:hint="eastAsia" w:ascii="Times New Roman" w:hAnsi="Times New Roman" w:eastAsia="仿宋_GB2312" w:cs="Times New Roman"/>
          <w:sz w:val="30"/>
          <w:szCs w:val="30"/>
        </w:rPr>
        <w:t>实施文化“标准化”工程，落实图书馆、文化馆、科技馆、博物馆、档案馆、体育馆、剧院、互联网场所，以及文物保护、服务供给等多领域的国家标准规范，加快推进文化服务规范有效发展。研究制定完善村和社区综合文化服务中心等设施服务规范，提标扩面公共文化机构服务体系认证，实现有规可依、有章可循。将文化服务设施纳入政府基础设施建设预算保障，实现统一规划管理。</w:t>
      </w:r>
    </w:p>
    <w:p>
      <w:pPr>
        <w:spacing w:line="560" w:lineRule="exac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促进文化资源均衡化配置。</w:t>
      </w:r>
      <w:r>
        <w:rPr>
          <w:rFonts w:hint="eastAsia" w:ascii="Times New Roman" w:hAnsi="Times New Roman" w:eastAsia="仿宋_GB2312" w:cs="Times New Roman"/>
          <w:sz w:val="30"/>
          <w:szCs w:val="30"/>
        </w:rPr>
        <w:t>建设完善乡村（社区）文化综合服务中心、文化驿站、民间博物馆、农村图书馆等，加密县乡村文化设施布点。推进农村文化礼堂等基层公共文化设施优化升级，注入乡村文化展示、旅游咨询集散等功能。深化“送文化下乡”工程，提高文化服务品质和广度，谋划建设夏邑文化地标，争取引进一批国际化的文艺表演和赛事活动。</w:t>
      </w:r>
    </w:p>
    <w:p>
      <w:pPr>
        <w:spacing w:line="560" w:lineRule="exact"/>
        <w:ind w:firstLine="66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加快文化服务数字化发展。</w:t>
      </w:r>
      <w:r>
        <w:rPr>
          <w:rFonts w:hint="eastAsia" w:ascii="Times New Roman" w:hAnsi="Times New Roman" w:eastAsia="仿宋_GB2312" w:cs="Times New Roman"/>
          <w:bCs/>
          <w:sz w:val="30"/>
          <w:szCs w:val="30"/>
        </w:rPr>
        <w:t>加快融媒体和广播电视发展。加强公共视听载体管理、加快推进无线数字广播电视覆盖工程、高清和超高清电视发展，积极推进</w:t>
      </w:r>
      <w:r>
        <w:rPr>
          <w:rFonts w:ascii="Times New Roman" w:hAnsi="Times New Roman" w:eastAsia="仿宋_GB2312" w:cs="Times New Roman"/>
          <w:bCs/>
          <w:sz w:val="30"/>
          <w:szCs w:val="30"/>
        </w:rPr>
        <w:t>4K</w:t>
      </w:r>
      <w:r>
        <w:rPr>
          <w:rFonts w:hint="eastAsia" w:ascii="Times New Roman" w:hAnsi="Times New Roman" w:eastAsia="仿宋_GB2312" w:cs="Times New Roman"/>
          <w:bCs/>
          <w:sz w:val="30"/>
          <w:szCs w:val="30"/>
        </w:rPr>
        <w:t>电视的推广和应用。</w:t>
      </w:r>
      <w:r>
        <w:rPr>
          <w:rFonts w:hint="eastAsia" w:ascii="Times New Roman" w:hAnsi="Times New Roman" w:eastAsia="仿宋_GB2312" w:cs="Times New Roman"/>
          <w:sz w:val="30"/>
          <w:szCs w:val="30"/>
        </w:rPr>
        <w:t>推进文化云服务，整合多头分散的文化资源，实现线上联动文化活动和文化项目。推进新技术在文化服务领域的转化应用，开发数字化文化体验产品。运用新兴媒体和创意策划宣传等营销方式，开展立体精准的文化服务宣传，全面满足广大群众的精神文化需求。</w:t>
      </w:r>
    </w:p>
    <w:tbl>
      <w:tblPr>
        <w:tblStyle w:val="15"/>
        <w:tblW w:w="0" w:type="auto"/>
        <w:tblInd w:w="0" w:type="dxa"/>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PrEx>
        <w:tc>
          <w:tcPr>
            <w:tcW w:w="8522" w:type="dxa"/>
          </w:tcPr>
          <w:p>
            <w:pPr>
              <w:snapToGrid w:val="0"/>
              <w:jc w:val="center"/>
              <w:rPr>
                <w:rFonts w:ascii="Times New Roman" w:hAnsi="Times New Roman" w:eastAsia="楷体" w:cs="Times New Roman"/>
                <w:sz w:val="28"/>
                <w:szCs w:val="32"/>
              </w:rPr>
            </w:pPr>
            <w:r>
              <w:rPr>
                <w:rFonts w:hint="eastAsia" w:ascii="Times New Roman" w:hAnsi="Times New Roman" w:eastAsia="楷体" w:cs="Times New Roman"/>
                <w:sz w:val="28"/>
                <w:szCs w:val="32"/>
              </w:rPr>
              <w:t>专栏十</w:t>
            </w:r>
            <w:r>
              <w:rPr>
                <w:rFonts w:ascii="Times New Roman" w:hAnsi="Times New Roman" w:eastAsia="楷体" w:cs="Times New Roman"/>
                <w:sz w:val="28"/>
                <w:szCs w:val="32"/>
              </w:rPr>
              <w:t xml:space="preserve">  </w:t>
            </w:r>
            <w:bookmarkStart w:id="135" w:name="_Hlk59994857"/>
            <w:r>
              <w:rPr>
                <w:rFonts w:hint="eastAsia" w:ascii="Times New Roman" w:hAnsi="Times New Roman" w:eastAsia="楷体" w:cs="Times New Roman"/>
                <w:sz w:val="28"/>
                <w:szCs w:val="32"/>
              </w:rPr>
              <w:t>教育文化提质发展工程</w:t>
            </w:r>
            <w:bookmarkEnd w:id="135"/>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c>
          <w:tcPr>
            <w:tcW w:w="8522" w:type="dxa"/>
          </w:tcPr>
          <w:p>
            <w:pPr>
              <w:ind w:firstLine="482" w:firstLineChars="200"/>
              <w:rPr>
                <w:rFonts w:ascii="Times New Roman" w:hAnsi="Times New Roman" w:eastAsia="仿宋_GB2312" w:cs="Times New Roman"/>
                <w:bCs/>
                <w:sz w:val="24"/>
                <w:szCs w:val="24"/>
              </w:rPr>
            </w:pPr>
            <w:bookmarkStart w:id="136" w:name="_Hlk59994873"/>
            <w:r>
              <w:rPr>
                <w:rFonts w:hint="eastAsia" w:ascii="Times New Roman" w:hAnsi="Times New Roman" w:eastAsia="仿宋_GB2312" w:cs="Times New Roman"/>
                <w:b/>
                <w:sz w:val="24"/>
                <w:szCs w:val="24"/>
              </w:rPr>
              <w:t>实施教育现代化行动。</w:t>
            </w:r>
            <w:r>
              <w:rPr>
                <w:rFonts w:hint="eastAsia" w:ascii="Times New Roman" w:hAnsi="Times New Roman" w:eastAsia="仿宋_GB2312" w:cs="Times New Roman"/>
                <w:bCs/>
                <w:sz w:val="24"/>
                <w:szCs w:val="24"/>
              </w:rPr>
              <w:t>以培育夏邑优势产业工人为方向，引进</w:t>
            </w:r>
            <w:r>
              <w:rPr>
                <w:rFonts w:ascii="Times New Roman" w:hAnsi="Times New Roman" w:eastAsia="仿宋_GB2312" w:cs="Times New Roman"/>
                <w:bCs/>
                <w:sz w:val="24"/>
                <w:szCs w:val="24"/>
              </w:rPr>
              <w:t>1-2</w:t>
            </w:r>
            <w:r>
              <w:rPr>
                <w:rFonts w:hint="eastAsia" w:ascii="Times New Roman" w:hAnsi="Times New Roman" w:eastAsia="仿宋_GB2312" w:cs="Times New Roman"/>
                <w:bCs/>
                <w:sz w:val="24"/>
                <w:szCs w:val="24"/>
              </w:rPr>
              <w:t>所大专院校和职业高中在夏邑举办分院分校，推进县孔祖中专升格为职业专科学校。“十四五”期间，每年建成</w:t>
            </w:r>
            <w:r>
              <w:rPr>
                <w:rFonts w:ascii="Times New Roman" w:hAnsi="Times New Roman" w:eastAsia="仿宋_GB2312" w:cs="Times New Roman"/>
                <w:bCs/>
                <w:sz w:val="24"/>
                <w:szCs w:val="24"/>
              </w:rPr>
              <w:t>20</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30</w:t>
            </w:r>
            <w:r>
              <w:rPr>
                <w:rFonts w:hint="eastAsia" w:ascii="Times New Roman" w:hAnsi="Times New Roman" w:eastAsia="仿宋_GB2312" w:cs="Times New Roman"/>
                <w:bCs/>
                <w:sz w:val="24"/>
                <w:szCs w:val="24"/>
              </w:rPr>
              <w:t>所义务教育标准化学校，中心城区每年至少建设</w:t>
            </w:r>
            <w:r>
              <w:rPr>
                <w:rFonts w:ascii="Times New Roman" w:hAnsi="Times New Roman" w:eastAsia="仿宋_GB2312" w:cs="Times New Roman"/>
                <w:bCs/>
                <w:sz w:val="24"/>
                <w:szCs w:val="24"/>
              </w:rPr>
              <w:t>1-2</w:t>
            </w:r>
            <w:r>
              <w:rPr>
                <w:rFonts w:hint="eastAsia" w:ascii="Times New Roman" w:hAnsi="Times New Roman" w:eastAsia="仿宋_GB2312" w:cs="Times New Roman"/>
                <w:bCs/>
                <w:sz w:val="24"/>
                <w:szCs w:val="24"/>
              </w:rPr>
              <w:t>所义务教育阶段学校。新建一所高中，并改扩建现有高中，使高中学校能完全适应新高考模式要求。全县中小学网络覆盖率、宽带网络接入率达到</w:t>
            </w:r>
            <w:r>
              <w:rPr>
                <w:rFonts w:ascii="Times New Roman" w:hAnsi="Times New Roman" w:eastAsia="仿宋_GB2312" w:cs="Times New Roman"/>
                <w:bCs/>
                <w:sz w:val="24"/>
                <w:szCs w:val="24"/>
              </w:rPr>
              <w:t>100%</w:t>
            </w:r>
            <w:r>
              <w:rPr>
                <w:rFonts w:hint="eastAsia" w:ascii="Times New Roman" w:hAnsi="Times New Roman" w:eastAsia="仿宋_GB2312" w:cs="Times New Roman"/>
                <w:bCs/>
                <w:sz w:val="24"/>
                <w:szCs w:val="24"/>
              </w:rPr>
              <w:t>，多媒体教室达到</w:t>
            </w:r>
            <w:r>
              <w:rPr>
                <w:rFonts w:ascii="Times New Roman" w:hAnsi="Times New Roman" w:eastAsia="仿宋_GB2312" w:cs="Times New Roman"/>
                <w:bCs/>
                <w:sz w:val="24"/>
                <w:szCs w:val="24"/>
              </w:rPr>
              <w:t>100%</w:t>
            </w:r>
            <w:r>
              <w:rPr>
                <w:rFonts w:hint="eastAsia" w:ascii="Times New Roman" w:hAnsi="Times New Roman" w:eastAsia="仿宋_GB2312" w:cs="Times New Roman"/>
                <w:bCs/>
                <w:sz w:val="24"/>
                <w:szCs w:val="24"/>
              </w:rPr>
              <w:t>，中小学数字校园全部达到要求。</w:t>
            </w:r>
          </w:p>
          <w:p>
            <w:pPr>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sz w:val="24"/>
                <w:szCs w:val="24"/>
              </w:rPr>
              <w:t>完善文化设施建设。</w:t>
            </w:r>
            <w:r>
              <w:rPr>
                <w:rFonts w:hint="eastAsia" w:ascii="Times New Roman" w:hAnsi="Times New Roman" w:eastAsia="仿宋_GB2312" w:cs="Times New Roman"/>
                <w:bCs/>
                <w:sz w:val="24"/>
                <w:szCs w:val="24"/>
              </w:rPr>
              <w:t>加强对彭雪枫将军纪念馆、通济渠商丘夏邑段遗址、孔子还乡祠等文化遗产的保护与开发；推进孔子还乡祠、孔祖文化苑、运河景观带、博物馆、新媒体中心、科技馆、文化馆、艺术馆、栗城大剧院和非物质文化遗产展览馆等的建设及周边环境美化工程。提升全县乡镇文化站（室）硬、软件设施。实现社区文化服务中心建设及“农家书屋（社区书屋、工业园区书屋）”和“绿色网园”全覆盖。</w:t>
            </w:r>
          </w:p>
          <w:p>
            <w:pPr>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sz w:val="24"/>
                <w:szCs w:val="24"/>
              </w:rPr>
              <w:t>实施文化素质提升行动。</w:t>
            </w:r>
            <w:r>
              <w:rPr>
                <w:rFonts w:hint="eastAsia" w:ascii="Times New Roman" w:hAnsi="Times New Roman" w:eastAsia="仿宋_GB2312" w:cs="Times New Roman"/>
                <w:bCs/>
                <w:sz w:val="24"/>
                <w:szCs w:val="24"/>
              </w:rPr>
              <w:t>充分发挥和弘扬夏邑人民思想解放，敢想、敢干、能干、苦干的精神，在报纸、新媒体等设置专栏，宣传夏邑好人好事、创业精神、民生改善等；依托社区文化服务中心、“农家书屋”等载体，定期邀请相关专家结合社会热点问题为大家开展主题讲座、沙龙等大力开展文化惠民活动，引导群众不断增强文化素质。</w:t>
            </w:r>
            <w:bookmarkEnd w:id="136"/>
          </w:p>
        </w:tc>
      </w:tr>
      <w:bookmarkEnd w:id="130"/>
    </w:tbl>
    <w:p>
      <w:pPr>
        <w:spacing w:before="156" w:beforeLines="50" w:after="156" w:afterLines="50"/>
        <w:ind w:firstLine="640" w:firstLineChars="200"/>
        <w:outlineLvl w:val="0"/>
        <w:rPr>
          <w:rFonts w:ascii="Times New Roman" w:hAnsi="Times New Roman" w:eastAsia="黑体" w:cs="Times New Roman"/>
          <w:sz w:val="32"/>
          <w:szCs w:val="32"/>
        </w:rPr>
        <w:sectPr>
          <w:pgSz w:w="11906" w:h="16838"/>
          <w:pgMar w:top="1440" w:right="1800" w:bottom="1440" w:left="1800" w:header="851" w:footer="992" w:gutter="0"/>
          <w:cols w:space="425" w:num="1"/>
          <w:docGrid w:type="lines" w:linePitch="312" w:charSpace="0"/>
        </w:sectPr>
      </w:pPr>
      <w:bookmarkStart w:id="137" w:name="_Toc59921220"/>
    </w:p>
    <w:p>
      <w:pPr>
        <w:spacing w:before="156" w:beforeLines="50" w:after="156" w:afterLines="50"/>
        <w:ind w:firstLine="640" w:firstLineChars="200"/>
        <w:outlineLvl w:val="0"/>
        <w:rPr>
          <w:rFonts w:ascii="Times New Roman" w:hAnsi="Times New Roman" w:eastAsia="黑体" w:cs="Times New Roman"/>
          <w:sz w:val="32"/>
          <w:szCs w:val="32"/>
        </w:rPr>
      </w:pPr>
      <w:bookmarkStart w:id="138" w:name="_Toc65060554"/>
      <w:r>
        <w:rPr>
          <w:rFonts w:hint="eastAsia" w:ascii="Times New Roman" w:hAnsi="Times New Roman" w:eastAsia="黑体" w:cs="Times New Roman"/>
          <w:sz w:val="32"/>
          <w:szCs w:val="32"/>
        </w:rPr>
        <w:t>十二、全面提升发展安全保障水平，构建县域治理现代化新环境</w:t>
      </w:r>
      <w:bookmarkEnd w:id="137"/>
      <w:bookmarkEnd w:id="138"/>
    </w:p>
    <w:p>
      <w:pPr>
        <w:spacing w:line="560" w:lineRule="exact"/>
        <w:ind w:firstLine="600" w:firstLineChars="200"/>
        <w:rPr>
          <w:rFonts w:ascii="Times New Roman" w:hAnsi="Times New Roman" w:eastAsia="仿宋_GB2312"/>
          <w:sz w:val="30"/>
          <w:szCs w:val="30"/>
        </w:rPr>
      </w:pPr>
      <w:bookmarkStart w:id="139" w:name="_Hlk59997089"/>
      <w:r>
        <w:rPr>
          <w:rFonts w:hint="eastAsia" w:ascii="Times New Roman" w:hAnsi="Times New Roman" w:eastAsia="仿宋_GB2312"/>
          <w:sz w:val="30"/>
          <w:szCs w:val="30"/>
        </w:rPr>
        <w:t>积极防范应对各类风险挑战</w:t>
      </w:r>
      <w:bookmarkEnd w:id="139"/>
      <w:r>
        <w:rPr>
          <w:rFonts w:hint="eastAsia" w:ascii="Times New Roman" w:hAnsi="Times New Roman" w:eastAsia="仿宋_GB2312"/>
          <w:sz w:val="30"/>
          <w:szCs w:val="30"/>
        </w:rPr>
        <w:t>，持续完善平安法治建设，系统集成、整体协作，为实现市场经济良性发展、营造良好社会生态提供坚实的制度保障，努力成为河南县域治理现代化的标杆。</w:t>
      </w:r>
    </w:p>
    <w:p>
      <w:pPr>
        <w:spacing w:before="120" w:after="120" w:line="560" w:lineRule="exact"/>
        <w:ind w:firstLine="640" w:firstLineChars="200"/>
        <w:outlineLvl w:val="1"/>
        <w:rPr>
          <w:rFonts w:ascii="Times New Roman" w:hAnsi="Times New Roman" w:eastAsia="楷体" w:cstheme="majorBidi"/>
          <w:sz w:val="32"/>
          <w:szCs w:val="32"/>
        </w:rPr>
      </w:pPr>
      <w:bookmarkStart w:id="140" w:name="_Toc65060555"/>
      <w:bookmarkStart w:id="141" w:name="_Toc59921221"/>
      <w:bookmarkStart w:id="142" w:name="_Toc56721771"/>
      <w:r>
        <w:rPr>
          <w:rFonts w:hint="eastAsia" w:ascii="Times New Roman" w:hAnsi="Times New Roman" w:eastAsia="楷体" w:cstheme="majorBidi"/>
          <w:sz w:val="32"/>
          <w:szCs w:val="32"/>
        </w:rPr>
        <w:t>（一）推进社会治理现代化建设</w:t>
      </w:r>
      <w:bookmarkEnd w:id="140"/>
      <w:bookmarkEnd w:id="141"/>
      <w:bookmarkEnd w:id="142"/>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打造社会治理共同体。</w:t>
      </w:r>
      <w:r>
        <w:rPr>
          <w:rFonts w:hint="eastAsia" w:ascii="Times New Roman" w:hAnsi="Times New Roman" w:eastAsia="仿宋_GB2312"/>
          <w:bCs/>
          <w:sz w:val="30"/>
          <w:szCs w:val="30"/>
        </w:rPr>
        <w:t>学习新时代“枫桥经验”，</w:t>
      </w:r>
      <w:r>
        <w:rPr>
          <w:rFonts w:hint="eastAsia" w:ascii="Times New Roman" w:hAnsi="Times New Roman" w:eastAsia="仿宋_GB2312"/>
          <w:sz w:val="30"/>
          <w:szCs w:val="30"/>
        </w:rPr>
        <w:t>着力构建党委领导、政府负责、社会协同、公众参与、法治保障、科技支撑的社会治理工作体制。创新“基层党建</w:t>
      </w:r>
      <w:r>
        <w:rPr>
          <w:rFonts w:ascii="Times New Roman" w:hAnsi="Times New Roman" w:eastAsia="仿宋_GB2312"/>
          <w:sz w:val="30"/>
          <w:szCs w:val="30"/>
        </w:rPr>
        <w:t>+</w:t>
      </w:r>
      <w:r>
        <w:rPr>
          <w:rFonts w:hint="eastAsia" w:ascii="Times New Roman" w:hAnsi="Times New Roman" w:eastAsia="仿宋_GB2312"/>
          <w:sz w:val="30"/>
          <w:szCs w:val="30"/>
        </w:rPr>
        <w:t>社会治理”模式，加快将组织优势转化为社会治理优势。强化镇乡（街道）审批、服务、管理三项职能，优化“基层治理四平台”和“全科网格”，大力推进矛盾纠纷源头治理、风险隐患源头防范，加强矛调中心建设，实现矛盾纠纷化解“一站式”解决。建立“</w:t>
      </w:r>
      <w:r>
        <w:rPr>
          <w:rFonts w:ascii="Times New Roman" w:hAnsi="Times New Roman" w:eastAsia="仿宋_GB2312"/>
          <w:sz w:val="30"/>
          <w:szCs w:val="30"/>
        </w:rPr>
        <w:t>1+5+X</w:t>
      </w:r>
      <w:r>
        <w:rPr>
          <w:rFonts w:hint="eastAsia" w:ascii="Times New Roman" w:hAnsi="Times New Roman" w:eastAsia="仿宋_GB2312"/>
          <w:sz w:val="30"/>
          <w:szCs w:val="30"/>
        </w:rPr>
        <w:t>”</w:t>
      </w:r>
      <w:r>
        <w:rPr>
          <w:rFonts w:ascii="Times New Roman" w:hAnsi="Times New Roman" w:eastAsia="仿宋_GB2312" w:cs="Times New Roman"/>
          <w:sz w:val="30"/>
          <w:szCs w:val="30"/>
          <w:vertAlign w:val="superscript"/>
        </w:rPr>
        <w:footnoteReference w:id="1"/>
      </w:r>
      <w:r>
        <w:rPr>
          <w:rFonts w:hint="eastAsia" w:ascii="Times New Roman" w:hAnsi="Times New Roman" w:eastAsia="仿宋_GB2312"/>
          <w:sz w:val="30"/>
          <w:szCs w:val="30"/>
        </w:rPr>
        <w:t>社会组织标准化建设，健全政府向社会组织购买服务制度。充分发挥工会、共青团、妇联、中介等各类群团组织的桥梁纽带作用，不断拓宽群众参与社会治理的制度化渠道。推进乡贤治理模式，培育发展村级乡贤参事会，建立“乡贤治理”参与、联络、培养、评价机制。创新网络问政平台建设，深化重大民生决策事项民意调查和听证制度。</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推进现代化治理模式运用。</w:t>
      </w:r>
      <w:r>
        <w:rPr>
          <w:rFonts w:hint="eastAsia" w:ascii="Times New Roman" w:hAnsi="Times New Roman" w:eastAsia="仿宋_GB2312"/>
          <w:sz w:val="30"/>
          <w:szCs w:val="30"/>
        </w:rPr>
        <w:t>系统运用自治、法治、德治、心治、智治相结合的综合治理模式。深化党组织领导下的村（社区）“</w:t>
      </w:r>
      <w:r>
        <w:rPr>
          <w:rFonts w:ascii="Times New Roman" w:hAnsi="Times New Roman" w:eastAsia="仿宋_GB2312"/>
          <w:sz w:val="30"/>
          <w:szCs w:val="30"/>
        </w:rPr>
        <w:t>1+X</w:t>
      </w:r>
      <w:r>
        <w:rPr>
          <w:rFonts w:hint="eastAsia" w:ascii="Times New Roman" w:hAnsi="Times New Roman" w:eastAsia="仿宋_GB2312"/>
          <w:sz w:val="30"/>
          <w:szCs w:val="30"/>
        </w:rPr>
        <w:t>”自治模式，健全以群众自治组织为主体、社会各方广泛参与的新型城乡社区治理体系。推动法治工作重心下移、力量下沉，加强基层派出所和基层法庭建设，大力建设法治乡村。深入实施公民道德建设工程，发挥“最美夏邑人”等道德典型示范作用，完善培育社会文明风尚的实践载体。加强社会心理服务阵地、队伍和机制建设，加快构建前端普遍服务、中端监测预警、末端精准干预的社会心理服务体系。强化“互联网</w:t>
      </w:r>
      <w:r>
        <w:rPr>
          <w:rFonts w:ascii="Times New Roman" w:hAnsi="Times New Roman" w:eastAsia="仿宋_GB2312"/>
          <w:sz w:val="30"/>
          <w:szCs w:val="30"/>
        </w:rPr>
        <w:t>+</w:t>
      </w:r>
      <w:r>
        <w:rPr>
          <w:rFonts w:hint="eastAsia" w:ascii="Times New Roman" w:hAnsi="Times New Roman" w:eastAsia="仿宋_GB2312"/>
          <w:sz w:val="30"/>
          <w:szCs w:val="30"/>
        </w:rPr>
        <w:t>”思维，以“智慧城市”建设带动“智慧治理”，构建线上线下联动治理格局。</w:t>
      </w:r>
    </w:p>
    <w:p>
      <w:pPr>
        <w:spacing w:before="120" w:after="120" w:line="560" w:lineRule="exact"/>
        <w:ind w:firstLine="640" w:firstLineChars="200"/>
        <w:outlineLvl w:val="1"/>
        <w:rPr>
          <w:rFonts w:ascii="Times New Roman" w:hAnsi="Times New Roman" w:eastAsia="楷体" w:cstheme="majorBidi"/>
          <w:sz w:val="32"/>
          <w:szCs w:val="32"/>
        </w:rPr>
      </w:pPr>
      <w:bookmarkStart w:id="143" w:name="_Toc56721772"/>
      <w:bookmarkStart w:id="144" w:name="_Toc59921222"/>
      <w:bookmarkStart w:id="145" w:name="_Toc65060556"/>
      <w:r>
        <w:rPr>
          <w:rFonts w:hint="eastAsia" w:ascii="Times New Roman" w:hAnsi="Times New Roman" w:eastAsia="楷体" w:cstheme="majorBidi"/>
          <w:sz w:val="32"/>
          <w:szCs w:val="32"/>
        </w:rPr>
        <w:t>（二）</w:t>
      </w:r>
      <w:bookmarkEnd w:id="143"/>
      <w:bookmarkEnd w:id="144"/>
      <w:r>
        <w:rPr>
          <w:rFonts w:hint="eastAsia" w:ascii="Times New Roman" w:hAnsi="Times New Roman" w:eastAsia="楷体" w:cstheme="majorBidi"/>
          <w:sz w:val="32"/>
          <w:szCs w:val="32"/>
        </w:rPr>
        <w:t>加快建设平安夏邑</w:t>
      </w:r>
      <w:bookmarkEnd w:id="145"/>
    </w:p>
    <w:p>
      <w:pPr>
        <w:spacing w:line="560" w:lineRule="exact"/>
        <w:ind w:firstLine="602" w:firstLineChars="200"/>
        <w:rPr>
          <w:rFonts w:ascii="Times New Roman" w:hAnsi="Times New Roman" w:eastAsia="仿宋_GB2312"/>
          <w:b/>
          <w:sz w:val="30"/>
          <w:szCs w:val="30"/>
        </w:rPr>
      </w:pPr>
      <w:r>
        <w:rPr>
          <w:rFonts w:hint="eastAsia" w:ascii="Times New Roman" w:hAnsi="Times New Roman" w:eastAsia="仿宋_GB2312"/>
          <w:b/>
          <w:bCs/>
          <w:sz w:val="30"/>
          <w:szCs w:val="30"/>
        </w:rPr>
        <w:t>维护政治安全。</w:t>
      </w:r>
      <w:r>
        <w:rPr>
          <w:rFonts w:hint="eastAsia" w:ascii="Times New Roman" w:hAnsi="Times New Roman" w:eastAsia="仿宋_GB2312"/>
          <w:sz w:val="30"/>
          <w:szCs w:val="30"/>
        </w:rPr>
        <w:t>全面落实国家安全责任制，构建上下贯通的国家安全工作体系和责任体系。完善国家安全审查和监管机制，加强国家安全执法。坚定维护国家政权安全、制度安全、意识形态安全，守好维护政治安全生命线。严格落实意识形态工作责任制，加强各类阵地建设和管理，全面加强网络安全保障体系和能力建设，依法打击危害网络意识形态安全行为。严密防范和坚决打击敌对势力渗透、破坏、颠覆、分裂活动。加强国家安全宣传教育，增强全民国家安全意识，巩固国家安全人民防线。</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维护经济运行秩序安全</w:t>
      </w:r>
      <w:r>
        <w:rPr>
          <w:rFonts w:hint="eastAsia" w:ascii="Times New Roman" w:hAnsi="Times New Roman" w:eastAsia="仿宋_GB2312"/>
          <w:sz w:val="30"/>
          <w:szCs w:val="30"/>
        </w:rPr>
        <w:t>。加强重要经济指标动态监测和研判，做好应对内外发展环境变化和经济增长下行压力加剧的准备。加强对经济风险的识别反应、预警防范和应对政策，建立健全维护产业链供应链安全的有效机制，增强经济运行安全保障。构建完善金融风险防控处置体系，健全政府性债务风险管控机制，加大防范和处置风险型金融案件力度，加强地方金融法治化建设，强化网络金融安全监管和维护。完善能源运行监测技术手段，探索建设数字能源管理系统，切实保障能源安全。</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维护人民群众生活安全。</w:t>
      </w:r>
      <w:r>
        <w:rPr>
          <w:rFonts w:hint="eastAsia" w:ascii="Times New Roman" w:hAnsi="Times New Roman" w:eastAsia="仿宋_GB2312"/>
          <w:sz w:val="30"/>
          <w:szCs w:val="30"/>
        </w:rPr>
        <w:t>围绕人民的“菜篮子”、“米袋子”，切实增加农产品供给，加快畅通农产品及农业生产资料运输通道，制定实施农产品保供政策，提升农产品市场交易能力。健全完善食品药品监管体系，加快食品药品安全领域的现代技术研发应用，建立更严格的食品药品安全和质量标准，推进和巩固省级食品安全示范县创建成果。加大违法犯罪打击整治力度，全面实现公共安全视频监控联网应用。健全公共安全应急管理制度，落实安全生产责任制。完善自然灾害防治体系和防灾减灾救灾工作机制，推广完善巨灾保险机制。构建高效专业的疫病防控网络，设立以政府为主导的公共卫生应急指挥中心，建立县级统一战略物资储备平台，积极探索公共卫生人才队伍建设新机制，提高应对重大突发公共卫生事件的能力和水平。</w:t>
      </w:r>
    </w:p>
    <w:p>
      <w:pPr>
        <w:spacing w:line="560" w:lineRule="exact"/>
        <w:ind w:firstLine="602" w:firstLineChars="200"/>
        <w:rPr>
          <w:rFonts w:ascii="Times New Roman" w:hAnsi="Times New Roman" w:eastAsia="仿宋_GB2312"/>
          <w:bCs/>
          <w:sz w:val="30"/>
          <w:szCs w:val="30"/>
        </w:rPr>
      </w:pPr>
      <w:r>
        <w:rPr>
          <w:rFonts w:hint="eastAsia" w:ascii="Times New Roman" w:hAnsi="Times New Roman" w:eastAsia="仿宋_GB2312"/>
          <w:b/>
          <w:sz w:val="30"/>
          <w:szCs w:val="30"/>
        </w:rPr>
        <w:t>维护社会安全稳定。</w:t>
      </w:r>
      <w:r>
        <w:rPr>
          <w:rFonts w:hint="eastAsia" w:ascii="Times New Roman" w:hAnsi="Times New Roman" w:eastAsia="仿宋_GB2312"/>
          <w:bCs/>
          <w:sz w:val="30"/>
          <w:szCs w:val="30"/>
        </w:rPr>
        <w:t>坚持系统治理、依法治理、综合治理、源头治理，健全点线面结合、网上网下结合、人防物防技防结合、打防管控结合的立体化社会治安防控体系。创新社会治安防控手段，提升公共安全管理数字化、网络化、智能化水平，增强主动预防和打击犯罪的能力。完善社会治安防控运行机制，建立健全治安形势播报预警机制，推进扫黑除恶专项斗争常态化。学习借鉴和推广新时代“枫桥经验”，完善“党建</w:t>
      </w:r>
      <w:r>
        <w:rPr>
          <w:rFonts w:ascii="Times New Roman" w:hAnsi="Times New Roman" w:eastAsia="仿宋_GB2312"/>
          <w:bCs/>
          <w:sz w:val="30"/>
          <w:szCs w:val="30"/>
        </w:rPr>
        <w:t>+</w:t>
      </w:r>
      <w:r>
        <w:rPr>
          <w:rFonts w:hint="eastAsia" w:ascii="Times New Roman" w:hAnsi="Times New Roman" w:eastAsia="仿宋_GB2312"/>
          <w:bCs/>
          <w:sz w:val="30"/>
          <w:szCs w:val="30"/>
        </w:rPr>
        <w:t>一中心四平台”县域社会治理服务体系，深入推进“一村（格）一警”工作，提升基层社会治理能力和水平。巩固防范化解重大金融风险攻坚战成果，积极推进涉非资产案件处置扫尾工作。完善信访制度，构建社会矛盾纠纷多元预防调处化解综合机制。深化公共法律服务体系建设，完善法律援助制度，实现公共法律服务产品全覆盖。深化反恐防范体系建设，坚决打击暴力恐怖活动。强化社会治安重点地区排查，保持社会和谐稳定。</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提升综合防灾减灾气象保障能力。</w:t>
      </w:r>
      <w:r>
        <w:rPr>
          <w:rFonts w:hint="eastAsia" w:ascii="Times New Roman" w:hAnsi="Times New Roman" w:eastAsia="仿宋_GB2312"/>
          <w:sz w:val="30"/>
          <w:szCs w:val="30"/>
        </w:rPr>
        <w:t>推进气象灾害预警服务标准化建设，提高突发事件预警信息发布能力，完善预警信息发布机制。强化公众气象灾害风险防范意识，推进夏邑气象科普馆建设，打造一流科普教育基地。提升生态保护重点区域气象保障服务能力，实施人工影响天气工程，实现重点区域增雨雪作业常态化，持续建立和完善气象保障业务和服务体系、科技创新体系，加强气象保障能力建设。建立融入发展模式，加强气候资源利用，服务海绵城市、智慧城市建设。提升气象保障现代农业生产、农村综合防灾减灾、美丽乡村建设和城市治理的现代化水平。</w:t>
      </w:r>
    </w:p>
    <w:p>
      <w:pPr>
        <w:spacing w:before="120" w:after="120" w:line="560" w:lineRule="exact"/>
        <w:ind w:firstLine="640" w:firstLineChars="200"/>
        <w:outlineLvl w:val="1"/>
        <w:rPr>
          <w:rFonts w:ascii="Times New Roman" w:hAnsi="Times New Roman" w:eastAsia="楷体" w:cstheme="majorBidi"/>
          <w:sz w:val="32"/>
          <w:szCs w:val="32"/>
        </w:rPr>
      </w:pPr>
      <w:bookmarkStart w:id="146" w:name="_Toc59921223"/>
      <w:bookmarkStart w:id="147" w:name="_Toc65060557"/>
      <w:bookmarkStart w:id="148" w:name="_Toc56721773"/>
      <w:r>
        <w:rPr>
          <w:rFonts w:hint="eastAsia" w:ascii="Times New Roman" w:hAnsi="Times New Roman" w:eastAsia="楷体" w:cstheme="majorBidi"/>
          <w:sz w:val="32"/>
          <w:szCs w:val="32"/>
        </w:rPr>
        <w:t>（三）推动建设信用</w:t>
      </w:r>
      <w:bookmarkEnd w:id="146"/>
      <w:r>
        <w:rPr>
          <w:rFonts w:hint="eastAsia" w:ascii="Times New Roman" w:hAnsi="Times New Roman" w:eastAsia="楷体" w:cstheme="majorBidi"/>
          <w:sz w:val="32"/>
          <w:szCs w:val="32"/>
        </w:rPr>
        <w:t>夏邑</w:t>
      </w:r>
      <w:bookmarkEnd w:id="147"/>
    </w:p>
    <w:p>
      <w:pPr>
        <w:spacing w:line="560" w:lineRule="exact"/>
        <w:ind w:firstLine="602" w:firstLineChars="200"/>
        <w:rPr>
          <w:rFonts w:ascii="Times New Roman" w:hAnsi="Times New Roman" w:eastAsia="仿宋_GB2312" w:cs="仿宋_GB2312"/>
          <w:sz w:val="30"/>
          <w:szCs w:val="30"/>
        </w:rPr>
      </w:pPr>
      <w:r>
        <w:rPr>
          <w:rFonts w:hint="eastAsia" w:ascii="Times New Roman" w:hAnsi="Times New Roman" w:eastAsia="仿宋_GB2312" w:cs="仿宋_GB2312"/>
          <w:b/>
          <w:bCs/>
          <w:sz w:val="30"/>
          <w:szCs w:val="30"/>
        </w:rPr>
        <w:t>实施信用信息系统优化工程。</w:t>
      </w:r>
      <w:r>
        <w:rPr>
          <w:rFonts w:hint="eastAsia" w:ascii="Times New Roman" w:hAnsi="Times New Roman" w:eastAsia="仿宋_GB2312" w:cs="仿宋_GB2312"/>
          <w:sz w:val="30"/>
          <w:szCs w:val="30"/>
        </w:rPr>
        <w:t>加强信用基础建设和功能应用。健全公共信用评价体系，完善五类主体公共信用评价，实行动态管理，构建形成公共信用评价体系、“互联网</w:t>
      </w:r>
      <w:r>
        <w:rPr>
          <w:rFonts w:ascii="Times New Roman" w:hAnsi="Times New Roman" w:eastAsia="仿宋_GB2312" w:cs="仿宋_GB2312"/>
          <w:sz w:val="30"/>
          <w:szCs w:val="30"/>
        </w:rPr>
        <w:t>+</w:t>
      </w:r>
      <w:r>
        <w:rPr>
          <w:rFonts w:hint="eastAsia" w:ascii="Times New Roman" w:hAnsi="Times New Roman" w:eastAsia="仿宋_GB2312" w:cs="仿宋_GB2312"/>
          <w:sz w:val="30"/>
          <w:szCs w:val="30"/>
        </w:rPr>
        <w:t>信用＋监管</w:t>
      </w:r>
      <w:r>
        <w:rPr>
          <w:rFonts w:ascii="Times New Roman" w:hAnsi="Times New Roman" w:eastAsia="仿宋_GB2312" w:cs="仿宋_GB2312"/>
          <w:sz w:val="30"/>
          <w:szCs w:val="30"/>
        </w:rPr>
        <w:t>”</w:t>
      </w:r>
      <w:r>
        <w:rPr>
          <w:rFonts w:hint="eastAsia" w:ascii="Times New Roman" w:hAnsi="Times New Roman" w:eastAsia="仿宋_GB2312" w:cs="仿宋_GB2312"/>
          <w:sz w:val="30"/>
          <w:szCs w:val="30"/>
        </w:rPr>
        <w:t>新型监管体系和以红黑名单为重点的信用联合奖惩体系。依托数字化技术，对市场主体开展全覆盖、标准化、公益性的公共信用综合评价，建立公共信用评价结果应用的正反馈机制。培育信用服务机构，创新提供信用调查、信用评估、信用担保等服务。</w:t>
      </w:r>
    </w:p>
    <w:p>
      <w:pPr>
        <w:spacing w:line="560" w:lineRule="exact"/>
        <w:ind w:firstLine="602" w:firstLineChars="200"/>
        <w:rPr>
          <w:rFonts w:ascii="Times New Roman" w:hAnsi="Times New Roman" w:eastAsia="仿宋_GB2312" w:cs="仿宋_GB2312"/>
          <w:sz w:val="30"/>
          <w:szCs w:val="30"/>
        </w:rPr>
      </w:pPr>
      <w:r>
        <w:rPr>
          <w:rFonts w:hint="eastAsia" w:ascii="Times New Roman" w:hAnsi="Times New Roman" w:eastAsia="仿宋_GB2312" w:cs="仿宋_GB2312"/>
          <w:b/>
          <w:bCs/>
          <w:sz w:val="30"/>
          <w:szCs w:val="30"/>
        </w:rPr>
        <w:t>实施新型监管机制构建工程。</w:t>
      </w:r>
      <w:r>
        <w:rPr>
          <w:rFonts w:hint="eastAsia" w:ascii="Times New Roman" w:hAnsi="Times New Roman" w:eastAsia="仿宋_GB2312" w:cs="仿宋_GB2312"/>
          <w:sz w:val="30"/>
          <w:szCs w:val="30"/>
        </w:rPr>
        <w:t>加快构建以信用信息归集与应用为依托，以信用监管为基础的新型监管机制，分批推进行业信用监管体系建设，建立行业信用信息归集清单和信用监管评价模型，实现信用监管全覆盖，完善信用红、黑名单认定与监管机制，根据企业信用状况实施分层分类、差异化监管。</w:t>
      </w:r>
    </w:p>
    <w:p>
      <w:pPr>
        <w:spacing w:before="120" w:after="120" w:line="560" w:lineRule="exact"/>
        <w:ind w:firstLine="640" w:firstLineChars="200"/>
        <w:outlineLvl w:val="1"/>
        <w:rPr>
          <w:rFonts w:ascii="Times New Roman" w:hAnsi="Times New Roman" w:eastAsia="楷体" w:cstheme="majorBidi"/>
          <w:sz w:val="32"/>
          <w:szCs w:val="32"/>
        </w:rPr>
      </w:pPr>
      <w:bookmarkStart w:id="149" w:name="_Toc59921224"/>
      <w:bookmarkStart w:id="150" w:name="_Toc65060558"/>
      <w:r>
        <w:rPr>
          <w:rFonts w:hint="eastAsia" w:ascii="Times New Roman" w:hAnsi="Times New Roman" w:eastAsia="楷体" w:cstheme="majorBidi"/>
          <w:sz w:val="32"/>
          <w:szCs w:val="32"/>
        </w:rPr>
        <w:t>（四）全面建设法治夏邑</w:t>
      </w:r>
      <w:bookmarkEnd w:id="148"/>
      <w:bookmarkEnd w:id="149"/>
      <w:bookmarkEnd w:id="150"/>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打造协同高效的法治政府。</w:t>
      </w:r>
      <w:r>
        <w:rPr>
          <w:rFonts w:hint="eastAsia" w:ascii="Times New Roman" w:hAnsi="Times New Roman" w:eastAsia="仿宋_GB2312"/>
          <w:sz w:val="30"/>
          <w:szCs w:val="30"/>
        </w:rPr>
        <w:t>优化行政决策、行政执行、行政组织、行政监督体制，严格落实重大行政决策法定程序。完善政府权力清单和责任清单，严格执行部门“三定”规定，推进机构、职能、权限、程序、责任法定化。深化综合行政执法体制改革，健全完善综合执法“首发响应”机制，构建“部门专业执法</w:t>
      </w:r>
      <w:r>
        <w:rPr>
          <w:rFonts w:ascii="Times New Roman" w:hAnsi="Times New Roman" w:eastAsia="仿宋_GB2312"/>
          <w:sz w:val="30"/>
          <w:szCs w:val="30"/>
        </w:rPr>
        <w:t>+</w:t>
      </w:r>
      <w:r>
        <w:rPr>
          <w:rFonts w:hint="eastAsia" w:ascii="Times New Roman" w:hAnsi="Times New Roman" w:eastAsia="仿宋_GB2312"/>
          <w:sz w:val="30"/>
          <w:szCs w:val="30"/>
        </w:rPr>
        <w:t>镇街联合执法”体系。加强执法队伍革命化、正规化、专业化、职业化建设，严格规范公正文明执法，加大事关群众切身利益的重点领域执法力度。</w:t>
      </w:r>
    </w:p>
    <w:p>
      <w:pPr>
        <w:spacing w:line="560" w:lineRule="exact"/>
        <w:ind w:firstLine="602" w:firstLineChars="200"/>
        <w:rPr>
          <w:rFonts w:ascii="Times New Roman" w:hAnsi="Times New Roman" w:eastAsia="仿宋_GB2312"/>
          <w:bCs/>
          <w:sz w:val="30"/>
          <w:szCs w:val="30"/>
        </w:rPr>
      </w:pPr>
      <w:r>
        <w:rPr>
          <w:rFonts w:hint="eastAsia" w:ascii="Times New Roman" w:hAnsi="Times New Roman" w:eastAsia="仿宋_GB2312"/>
          <w:b/>
          <w:bCs/>
          <w:sz w:val="30"/>
          <w:szCs w:val="30"/>
        </w:rPr>
        <w:t>建设普法公正的法治社会。</w:t>
      </w:r>
      <w:r>
        <w:rPr>
          <w:rFonts w:hint="eastAsia" w:ascii="Times New Roman" w:hAnsi="Times New Roman" w:eastAsia="仿宋_GB2312"/>
          <w:bCs/>
          <w:sz w:val="30"/>
          <w:szCs w:val="30"/>
        </w:rPr>
        <w:t>构建社会“大普法”格局，强化领导干部带头尊法学法守法用法，完善领导班子和领导干部述法制度。建设现代公共法律服务体系，引导全社会办事依法、遇事找法、解决问题用法、化解矛盾靠法。加强法治人才队伍建设，建立健全优秀法治人才认定、培养、奖励、推荐等激励机制，畅通优秀法治人才参与法治实践的渠道。加强互联网应用，强化网民合法权益保护。推进云计算、大数据、人工智能等信息技术与法治社会建设深度融合，建设智慧法治社会。</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推进全面有力的法治保障。</w:t>
      </w:r>
      <w:r>
        <w:rPr>
          <w:rFonts w:hint="eastAsia" w:ascii="Times New Roman" w:hAnsi="Times New Roman" w:eastAsia="仿宋_GB2312"/>
          <w:bCs/>
          <w:sz w:val="30"/>
          <w:szCs w:val="30"/>
        </w:rPr>
        <w:t>深化司法体制综合配套改革，构建多元精细的一站式诉讼服务体系，完善“分调裁审”工作机制，建立执行难综合治理联动机制，加强刑罚执行一体化建设。全面深化智慧法院建设，推广运用“移动微法院”“移动微执行”平台，推行“指尖诉讼、掌上办案”。全面落实司法责任制，完善司法权力运行监督和制约机制，健全刑事、民事、行政、公益诉讼等监督体系，提高司法质量、效率和效果，提升司法公信力，让人民群众在每一个司法案件内感受到公平正义。不断深化司法公开力度，拓宽沟通交流渠道，建立健全人民群众参与、促进和监督法治建设工作体制机制。</w:t>
      </w:r>
    </w:p>
    <w:p>
      <w:pPr>
        <w:spacing w:before="120" w:after="120" w:line="560" w:lineRule="exact"/>
        <w:ind w:firstLine="640" w:firstLineChars="200"/>
        <w:outlineLvl w:val="1"/>
        <w:rPr>
          <w:rFonts w:ascii="Times New Roman" w:hAnsi="Times New Roman" w:eastAsia="楷体" w:cstheme="majorBidi"/>
          <w:sz w:val="32"/>
          <w:szCs w:val="32"/>
        </w:rPr>
      </w:pPr>
      <w:bookmarkStart w:id="151" w:name="_Toc59921225"/>
      <w:bookmarkStart w:id="152" w:name="_Toc65060559"/>
      <w:r>
        <w:rPr>
          <w:rFonts w:hint="eastAsia" w:ascii="Times New Roman" w:hAnsi="Times New Roman" w:eastAsia="楷体" w:cstheme="majorBidi"/>
          <w:sz w:val="32"/>
          <w:szCs w:val="32"/>
        </w:rPr>
        <w:t>（五）防范化解各类风险</w:t>
      </w:r>
      <w:bookmarkEnd w:id="151"/>
      <w:bookmarkEnd w:id="152"/>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健全应急管理体系。</w:t>
      </w:r>
      <w:r>
        <w:rPr>
          <w:rFonts w:hint="eastAsia" w:ascii="Times New Roman" w:hAnsi="Times New Roman" w:eastAsia="仿宋_GB2312"/>
          <w:sz w:val="30"/>
          <w:szCs w:val="30"/>
        </w:rPr>
        <w:t>完善应急值守和紧急信息报送制度，进一步健全应急信息报告制度。完善应急队伍体系，逐步形成以县消防救援大队、民兵应急连等骨干队伍在为主体、各类专业抢险抢修队为基础，事发地所属的应急救援组织为配套民间救援队伍和社会志愿者组织为协助的应急救援抢险队伍网络。完善应急救援体系，运用信息化智慧监管手段，推行</w:t>
      </w:r>
      <w:r>
        <w:rPr>
          <w:rFonts w:ascii="Times New Roman" w:hAnsi="Times New Roman" w:eastAsia="仿宋_GB2312"/>
          <w:sz w:val="30"/>
          <w:szCs w:val="30"/>
        </w:rPr>
        <w:t>“</w:t>
      </w:r>
      <w:r>
        <w:rPr>
          <w:rFonts w:hint="eastAsia" w:ascii="Times New Roman" w:hAnsi="Times New Roman" w:eastAsia="仿宋_GB2312"/>
          <w:sz w:val="30"/>
          <w:szCs w:val="30"/>
        </w:rPr>
        <w:t>互联网</w:t>
      </w:r>
      <w:r>
        <w:rPr>
          <w:rFonts w:ascii="Times New Roman" w:hAnsi="Times New Roman" w:eastAsia="仿宋_GB2312"/>
          <w:sz w:val="30"/>
          <w:szCs w:val="30"/>
        </w:rPr>
        <w:t>+</w:t>
      </w:r>
      <w:r>
        <w:rPr>
          <w:rFonts w:hint="eastAsia" w:ascii="Times New Roman" w:hAnsi="Times New Roman" w:eastAsia="仿宋_GB2312"/>
          <w:sz w:val="30"/>
          <w:szCs w:val="30"/>
        </w:rPr>
        <w:t>监管</w:t>
      </w:r>
      <w:r>
        <w:rPr>
          <w:rFonts w:ascii="Times New Roman" w:hAnsi="Times New Roman" w:eastAsia="仿宋_GB2312"/>
          <w:sz w:val="30"/>
          <w:szCs w:val="30"/>
        </w:rPr>
        <w:t>”</w:t>
      </w:r>
      <w:r>
        <w:rPr>
          <w:rFonts w:hint="eastAsia" w:ascii="Times New Roman" w:hAnsi="Times New Roman" w:eastAsia="仿宋_GB2312"/>
          <w:sz w:val="30"/>
          <w:szCs w:val="30"/>
        </w:rPr>
        <w:t>、</w:t>
      </w:r>
      <w:r>
        <w:rPr>
          <w:rFonts w:ascii="Times New Roman" w:hAnsi="Times New Roman" w:eastAsia="仿宋_GB2312"/>
          <w:sz w:val="30"/>
          <w:szCs w:val="30"/>
        </w:rPr>
        <w:t>“</w:t>
      </w:r>
      <w:r>
        <w:rPr>
          <w:rFonts w:hint="eastAsia" w:ascii="Times New Roman" w:hAnsi="Times New Roman" w:eastAsia="仿宋_GB2312"/>
          <w:sz w:val="30"/>
          <w:szCs w:val="30"/>
        </w:rPr>
        <w:t>执法</w:t>
      </w:r>
      <w:r>
        <w:rPr>
          <w:rFonts w:ascii="Times New Roman" w:hAnsi="Times New Roman" w:eastAsia="仿宋_GB2312"/>
          <w:sz w:val="30"/>
          <w:szCs w:val="30"/>
        </w:rPr>
        <w:t>+</w:t>
      </w:r>
      <w:r>
        <w:rPr>
          <w:rFonts w:hint="eastAsia" w:ascii="Times New Roman" w:hAnsi="Times New Roman" w:eastAsia="仿宋_GB2312"/>
          <w:sz w:val="30"/>
          <w:szCs w:val="30"/>
        </w:rPr>
        <w:t>专家</w:t>
      </w:r>
      <w:r>
        <w:rPr>
          <w:rFonts w:ascii="Times New Roman" w:hAnsi="Times New Roman" w:eastAsia="仿宋_GB2312"/>
          <w:sz w:val="30"/>
          <w:szCs w:val="30"/>
        </w:rPr>
        <w:t>”</w:t>
      </w:r>
      <w:r>
        <w:rPr>
          <w:rFonts w:hint="eastAsia" w:ascii="Times New Roman" w:hAnsi="Times New Roman" w:eastAsia="仿宋_GB2312"/>
          <w:sz w:val="30"/>
          <w:szCs w:val="30"/>
        </w:rPr>
        <w:t>模式，形成长效动态监</w:t>
      </w:r>
      <w:r>
        <w:rPr>
          <w:rFonts w:ascii="Times New Roman" w:hAnsi="Times New Roman" w:eastAsia="仿宋_GB2312"/>
          <w:sz w:val="30"/>
          <w:szCs w:val="30"/>
        </w:rPr>
        <w:t xml:space="preserve"> </w:t>
      </w:r>
      <w:r>
        <w:rPr>
          <w:rFonts w:hint="eastAsia" w:ascii="Times New Roman" w:hAnsi="Times New Roman" w:eastAsia="仿宋_GB2312"/>
          <w:sz w:val="30"/>
          <w:szCs w:val="30"/>
        </w:rPr>
        <w:t>管机制。</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合理布局应急救援物资与装备储备。</w:t>
      </w:r>
      <w:r>
        <w:rPr>
          <w:rFonts w:hint="eastAsia" w:ascii="Times New Roman" w:hAnsi="Times New Roman" w:eastAsia="仿宋_GB2312"/>
          <w:sz w:val="30"/>
          <w:szCs w:val="30"/>
        </w:rPr>
        <w:t>推进在会亭、何营、郭庄、太平等地增设自然灾害应急救援物资与装备储备库，服务周边集镇；在产业集聚区增设安全生产应急救援物资与装备储备库，服务县城及周边镇街。扎实推进全县物资保障规划布点和建设工作，打造</w:t>
      </w:r>
      <w:r>
        <w:rPr>
          <w:rFonts w:ascii="Times New Roman" w:hAnsi="Times New Roman" w:eastAsia="仿宋_GB2312"/>
          <w:sz w:val="30"/>
          <w:szCs w:val="30"/>
        </w:rPr>
        <w:t>30</w:t>
      </w:r>
      <w:r>
        <w:rPr>
          <w:rFonts w:hint="eastAsia" w:ascii="Times New Roman" w:hAnsi="Times New Roman" w:eastAsia="仿宋_GB2312"/>
          <w:sz w:val="30"/>
          <w:szCs w:val="30"/>
        </w:rPr>
        <w:t>分钟物资保障圈。</w:t>
      </w:r>
    </w:p>
    <w:p>
      <w:pPr>
        <w:spacing w:line="560" w:lineRule="exact"/>
        <w:ind w:firstLine="602" w:firstLineChars="200"/>
        <w:rPr>
          <w:rFonts w:ascii="Times New Roman" w:hAnsi="Times New Roman" w:eastAsia="仿宋_GB2312"/>
          <w:sz w:val="30"/>
          <w:szCs w:val="30"/>
        </w:rPr>
      </w:pPr>
      <w:r>
        <w:rPr>
          <w:rFonts w:hint="eastAsia" w:ascii="Times New Roman" w:hAnsi="Times New Roman" w:eastAsia="仿宋_GB2312"/>
          <w:b/>
          <w:bCs/>
          <w:sz w:val="30"/>
          <w:szCs w:val="30"/>
        </w:rPr>
        <w:t>加强粮食安全保障体系建设。</w:t>
      </w:r>
      <w:r>
        <w:rPr>
          <w:rFonts w:hint="eastAsia" w:ascii="Times New Roman" w:hAnsi="Times New Roman" w:eastAsia="仿宋_GB2312"/>
          <w:sz w:val="30"/>
          <w:szCs w:val="30"/>
        </w:rPr>
        <w:t>优化领导机制，成立由县长领衔的县粮食安全保障领导小组，建立县、乡、村三级一把手负责制和领导分包责任制，并列入乡镇和局委目标管理。实施粮食产能提升工程，加快粮食生产核心区和高标准农田建设，持续贯彻落实‘藏粮于地、藏粮于技’战略，毫不放松抓好粮食生产。提升粮食管理数字化水平，推动县粮食收购储备中心进行信息化升级改造，提高全县粮仓智慧化整体水平。</w:t>
      </w:r>
    </w:p>
    <w:p>
      <w:pPr>
        <w:spacing w:line="560" w:lineRule="exact"/>
        <w:ind w:firstLine="600" w:firstLineChars="200"/>
        <w:rPr>
          <w:rFonts w:ascii="Times New Roman" w:hAnsi="Times New Roman" w:eastAsia="仿宋_GB2312"/>
          <w:sz w:val="30"/>
          <w:szCs w:val="30"/>
        </w:rPr>
        <w:sectPr>
          <w:pgSz w:w="11906" w:h="16838"/>
          <w:pgMar w:top="1440" w:right="1800" w:bottom="1440" w:left="1800" w:header="851" w:footer="992" w:gutter="0"/>
          <w:cols w:space="425" w:num="1"/>
          <w:docGrid w:type="lines" w:linePitch="312" w:charSpace="0"/>
        </w:sectPr>
      </w:pPr>
    </w:p>
    <w:p>
      <w:pPr>
        <w:spacing w:before="156" w:beforeLines="50" w:after="156" w:afterLines="50"/>
        <w:ind w:firstLine="640" w:firstLineChars="200"/>
        <w:outlineLvl w:val="0"/>
        <w:rPr>
          <w:rFonts w:ascii="Times New Roman" w:hAnsi="Times New Roman" w:eastAsia="黑体" w:cs="Times New Roman"/>
          <w:sz w:val="32"/>
          <w:szCs w:val="32"/>
        </w:rPr>
      </w:pPr>
      <w:bookmarkStart w:id="153" w:name="_Toc65060560"/>
      <w:bookmarkStart w:id="154" w:name="_Toc59921226"/>
      <w:r>
        <w:rPr>
          <w:rFonts w:hint="eastAsia" w:ascii="Times New Roman" w:hAnsi="Times New Roman" w:eastAsia="黑体" w:cs="Times New Roman"/>
          <w:sz w:val="32"/>
          <w:szCs w:val="32"/>
        </w:rPr>
        <w:t>十三、全面强化统筹协调，构建规划实施保障新机制</w:t>
      </w:r>
      <w:bookmarkEnd w:id="153"/>
      <w:bookmarkEnd w:id="154"/>
    </w:p>
    <w:p>
      <w:pPr>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发挥党的核心引领作用，凝心聚力引领发展。强化规划实施所需的资金、土地、人才等关键要素的供给保障，不断完善重大项目谋划管理机制，加强项目各个环节的跟踪服务。完善规划实施监督机制，凝聚全社会力量共同推进规划实施。</w:t>
      </w:r>
    </w:p>
    <w:p>
      <w:pPr>
        <w:spacing w:before="120" w:after="120" w:line="560" w:lineRule="exact"/>
        <w:ind w:firstLine="640" w:firstLineChars="200"/>
        <w:outlineLvl w:val="1"/>
        <w:rPr>
          <w:rFonts w:ascii="Times New Roman" w:hAnsi="Times New Roman" w:eastAsia="楷体" w:cstheme="majorBidi"/>
          <w:sz w:val="32"/>
          <w:szCs w:val="32"/>
        </w:rPr>
      </w:pPr>
      <w:bookmarkStart w:id="155" w:name="_Toc56721775"/>
      <w:bookmarkStart w:id="156" w:name="_Toc59921227"/>
      <w:bookmarkStart w:id="157" w:name="_Toc65060561"/>
      <w:r>
        <w:rPr>
          <w:rFonts w:hint="eastAsia" w:ascii="Times New Roman" w:hAnsi="Times New Roman" w:eastAsia="楷体" w:cstheme="majorBidi"/>
          <w:sz w:val="32"/>
          <w:szCs w:val="32"/>
        </w:rPr>
        <w:t>（一）发挥党的核心领导作用</w:t>
      </w:r>
      <w:bookmarkEnd w:id="155"/>
      <w:bookmarkEnd w:id="156"/>
      <w:bookmarkEnd w:id="157"/>
    </w:p>
    <w:p>
      <w:pPr>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将党的领导贯穿“十四五”规划实施全过程，加强党委总揽全局、协调各方的核心作用。进一步理顺党政关系、政企关系，坚持依法执政。全面履行政府职能，发挥好市场的决定性作用，引导市场主体围绕规划目标协同发力。加强规划实施的制度化建设，优化工作机制和方法，提高党领导经济和社会工作的能力水平。建立“十四五”规划纲要实施领导小组，发挥统筹协调作用，制定规划纲要主要指标和重点任务分解实施方案，明确责任主体，抓好工作落实。各镇乡（街道）政府和部门要认真制定专项规划和实施方案，全力推进规划纲要实施，形成党委领导、政府主导、部门协同、社会参与的规划纲要推进机制。</w:t>
      </w:r>
    </w:p>
    <w:p>
      <w:pPr>
        <w:spacing w:before="120" w:after="120" w:line="560" w:lineRule="exact"/>
        <w:ind w:firstLine="640" w:firstLineChars="200"/>
        <w:outlineLvl w:val="1"/>
        <w:rPr>
          <w:rFonts w:ascii="Times New Roman" w:hAnsi="Times New Roman" w:eastAsia="楷体" w:cstheme="majorBidi"/>
          <w:sz w:val="32"/>
          <w:szCs w:val="32"/>
        </w:rPr>
      </w:pPr>
      <w:bookmarkStart w:id="158" w:name="_Toc56721776"/>
      <w:bookmarkStart w:id="159" w:name="_Toc59921228"/>
      <w:bookmarkStart w:id="160" w:name="_Toc65060562"/>
      <w:r>
        <w:rPr>
          <w:rFonts w:hint="eastAsia" w:ascii="Times New Roman" w:hAnsi="Times New Roman" w:eastAsia="楷体" w:cstheme="majorBidi"/>
          <w:sz w:val="32"/>
          <w:szCs w:val="32"/>
        </w:rPr>
        <w:t>（二）强化规划实施的要素供给保障</w:t>
      </w:r>
      <w:bookmarkEnd w:id="158"/>
      <w:bookmarkEnd w:id="159"/>
      <w:bookmarkEnd w:id="160"/>
    </w:p>
    <w:p>
      <w:pPr>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建立健全“项目跟着规划走、要素跟着项目走”的机制，优先保障本规划提出的重大平台项目等所需的要素资源。加强财政预算与规划实施的衔接协调，根据乡镇（街道）资源禀赋、发展导向，建立差异化的资金支持体系，合理安排财政支出规模和结构，加强资金绩效管理和使用监管，引导鼓励社会力量参与规划实施的投资、捐助等活动，引导和鼓励金融机构加强对规划相关建设行为的支持。大力实施全域土地综合整治试点项目，探索创新闲置土地盘活高效利用机制，优化存量空间利用。在融黄接长、产业发展、创新驱动、品质城市等重点平台打造，以及营商环境、生态环境、县域治理、人才发展等重点工程上，加大政策支持力度，优先落实资金、人才、土地等要素指标。制定与规划相匹配的要素投入、能源消耗、污染排放等保障方案，依法依规做好各类资源要素供给保障。</w:t>
      </w:r>
    </w:p>
    <w:p>
      <w:pPr>
        <w:spacing w:before="120" w:after="120" w:line="560" w:lineRule="exact"/>
        <w:ind w:firstLine="640" w:firstLineChars="200"/>
        <w:outlineLvl w:val="1"/>
        <w:rPr>
          <w:rFonts w:ascii="Times New Roman" w:hAnsi="Times New Roman" w:eastAsia="楷体" w:cstheme="majorBidi"/>
          <w:sz w:val="32"/>
          <w:szCs w:val="32"/>
        </w:rPr>
      </w:pPr>
      <w:bookmarkStart w:id="161" w:name="_Toc56721777"/>
      <w:bookmarkStart w:id="162" w:name="_Toc65060563"/>
      <w:bookmarkStart w:id="163" w:name="_Toc59921229"/>
      <w:r>
        <w:rPr>
          <w:rFonts w:hint="eastAsia" w:ascii="Times New Roman" w:hAnsi="Times New Roman" w:eastAsia="楷体" w:cstheme="majorBidi"/>
          <w:sz w:val="32"/>
          <w:szCs w:val="32"/>
        </w:rPr>
        <w:t>（三）完善重大项目谋划管理</w:t>
      </w:r>
      <w:bookmarkEnd w:id="161"/>
      <w:bookmarkEnd w:id="162"/>
      <w:bookmarkEnd w:id="163"/>
    </w:p>
    <w:p>
      <w:pPr>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成立县政府负责、行业主管部门、专业咨询机构、重点企业和产业集聚区参与的重大项目专题谋划管理小组</w:t>
      </w:r>
      <w:r>
        <w:rPr>
          <w:rFonts w:ascii="Times New Roman" w:hAnsi="Times New Roman" w:eastAsia="仿宋_GB2312"/>
          <w:sz w:val="30"/>
          <w:szCs w:val="30"/>
        </w:rPr>
        <w:t>,形成针对一类项目</w:t>
      </w:r>
      <w:r>
        <w:rPr>
          <w:rFonts w:hint="eastAsia" w:ascii="Times New Roman" w:hAnsi="Times New Roman" w:eastAsia="仿宋_GB2312"/>
          <w:sz w:val="30"/>
          <w:szCs w:val="30"/>
        </w:rPr>
        <w:t>、</w:t>
      </w:r>
      <w:r>
        <w:rPr>
          <w:rFonts w:ascii="Times New Roman" w:hAnsi="Times New Roman" w:eastAsia="仿宋_GB2312"/>
          <w:sz w:val="30"/>
          <w:szCs w:val="30"/>
        </w:rPr>
        <w:t>明确一名领导、落实一个部门、设计一套方案、配置一套班子、配套一个咨询机构的“五个一”项目谋划</w:t>
      </w:r>
      <w:r>
        <w:rPr>
          <w:rFonts w:hint="eastAsia" w:ascii="Times New Roman" w:hAnsi="Times New Roman" w:eastAsia="仿宋_GB2312"/>
          <w:sz w:val="30"/>
          <w:szCs w:val="30"/>
        </w:rPr>
        <w:t>管理</w:t>
      </w:r>
      <w:r>
        <w:rPr>
          <w:rFonts w:ascii="Times New Roman" w:hAnsi="Times New Roman" w:eastAsia="仿宋_GB2312"/>
          <w:sz w:val="30"/>
          <w:szCs w:val="30"/>
        </w:rPr>
        <w:t>机制</w:t>
      </w:r>
      <w:r>
        <w:rPr>
          <w:rFonts w:hint="eastAsia" w:ascii="Times New Roman" w:hAnsi="Times New Roman" w:eastAsia="仿宋_GB2312"/>
          <w:sz w:val="30"/>
          <w:szCs w:val="30"/>
        </w:rPr>
        <w:t>。建立重大项目绿色通道，对项目前期工作推进中的规划、用地审批、征地拆迁、招投标等重要节点跟踪服务，缩短办理时限。完善重大项目库建设，形成谋划一批、储备一批、开工一批、建设一批“四个一批”的项目梯次推进机制</w:t>
      </w:r>
      <w:r>
        <w:rPr>
          <w:rFonts w:ascii="Times New Roman" w:hAnsi="Times New Roman" w:eastAsia="仿宋_GB2312"/>
          <w:sz w:val="30"/>
          <w:szCs w:val="30"/>
        </w:rPr>
        <w:t>。</w:t>
      </w:r>
    </w:p>
    <w:p>
      <w:pPr>
        <w:spacing w:before="120" w:after="120" w:line="560" w:lineRule="exact"/>
        <w:ind w:firstLine="640" w:firstLineChars="200"/>
        <w:outlineLvl w:val="1"/>
        <w:rPr>
          <w:rFonts w:ascii="Times New Roman" w:hAnsi="Times New Roman" w:eastAsia="楷体" w:cstheme="majorBidi"/>
          <w:sz w:val="32"/>
          <w:szCs w:val="32"/>
        </w:rPr>
      </w:pPr>
      <w:bookmarkStart w:id="164" w:name="_Toc59921230"/>
      <w:bookmarkStart w:id="165" w:name="_Toc65060564"/>
      <w:bookmarkStart w:id="166" w:name="_Toc56721778"/>
      <w:r>
        <w:rPr>
          <w:rFonts w:hint="eastAsia" w:ascii="Times New Roman" w:hAnsi="Times New Roman" w:eastAsia="楷体" w:cstheme="majorBidi"/>
          <w:sz w:val="32"/>
          <w:szCs w:val="32"/>
        </w:rPr>
        <w:t>（四）健全完善规划实施监督机制</w:t>
      </w:r>
      <w:bookmarkEnd w:id="164"/>
      <w:bookmarkEnd w:id="165"/>
      <w:bookmarkEnd w:id="166"/>
    </w:p>
    <w:p>
      <w:pPr>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建立规划信息公开制度和可查询制度，依法公告经批准的国民经济发展规划，接受公众监督。健全规划实施监测评估机制、动态调整和修订机制、监督考核机制，把规划实施情况作为改进政府工作和考核评价的重要依据。充分利用各种媒体，向社会公开规划实施方案、规划实施措施和规划实施进展等信息，实施规划“阳光工程”，听取社会各界和广大群众对规划实施的意见和建议。自觉接受县人大及其常委会对规划实施情况的监督检查。</w:t>
      </w:r>
    </w:p>
    <w:p>
      <w:pPr>
        <w:spacing w:line="560" w:lineRule="exact"/>
        <w:ind w:firstLine="600" w:firstLineChars="200"/>
        <w:rPr>
          <w:rFonts w:ascii="Times New Roman" w:hAnsi="Times New Roman" w:eastAsia="黑体" w:cs="Times New Roman"/>
          <w:sz w:val="32"/>
          <w:szCs w:val="32"/>
        </w:rPr>
      </w:pPr>
      <w:r>
        <w:rPr>
          <w:rFonts w:hint="eastAsia" w:ascii="Times New Roman" w:hAnsi="Times New Roman" w:eastAsia="仿宋_GB2312"/>
          <w:sz w:val="30"/>
          <w:szCs w:val="30"/>
        </w:rPr>
        <w:t>“十四五”规划是我县开启建设社会主义现代化新征程的行动纲要。全县人民要更加紧密地团结在以习近平同志为核心的党中央周围，在省委、市委、县委领导下，坚持新发展理念，与时俱进、科学布局，拉高标杆、求真务实，展现担当、展示风采，努力绘就社会主义现代化夏邑建设新蓝图！</w:t>
      </w:r>
    </w:p>
    <w:p>
      <w:pPr>
        <w:snapToGrid w:val="0"/>
        <w:spacing w:line="560" w:lineRule="exact"/>
        <w:ind w:firstLine="640" w:firstLineChars="200"/>
        <w:rPr>
          <w:rFonts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jc w:val="both"/>
        <w:textAlignment w:val="auto"/>
        <w:outlineLvl w:val="9"/>
        <w:rPr>
          <w:rFonts w:hint="eastAsia" w:ascii="仿宋_GB2312" w:hAnsi="仿宋_GB2312" w:eastAsia="仿宋_GB2312" w:cs="仿宋_GB2312"/>
          <w:b w:val="0"/>
          <w:bCs/>
          <w:i w:val="0"/>
          <w:caps w:val="0"/>
          <w:color w:val="000000" w:themeColor="text1"/>
          <w:spacing w:val="0"/>
          <w:kern w:val="0"/>
          <w:sz w:val="32"/>
          <w:szCs w:val="32"/>
          <w:shd w:val="clear" w:color="auto"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jc w:val="both"/>
        <w:textAlignment w:val="auto"/>
        <w:outlineLvl w:val="9"/>
        <w:rPr>
          <w:rFonts w:hint="eastAsia" w:ascii="仿宋_GB2312" w:hAnsi="仿宋_GB2312" w:eastAsia="仿宋_GB2312" w:cs="仿宋_GB2312"/>
          <w:b w:val="0"/>
          <w:bCs/>
          <w:i w:val="0"/>
          <w:caps w:val="0"/>
          <w:color w:val="000000" w:themeColor="text1"/>
          <w:spacing w:val="0"/>
          <w:kern w:val="0"/>
          <w:sz w:val="32"/>
          <w:szCs w:val="32"/>
          <w:shd w:val="clear" w:color="auto"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jc w:val="both"/>
        <w:textAlignment w:val="auto"/>
        <w:outlineLvl w:val="9"/>
        <w:rPr>
          <w:rFonts w:hint="eastAsia" w:ascii="仿宋_GB2312" w:hAnsi="仿宋_GB2312" w:eastAsia="仿宋_GB2312" w:cs="仿宋_GB2312"/>
          <w:b w:val="0"/>
          <w:bCs/>
          <w:i w:val="0"/>
          <w:caps w:val="0"/>
          <w:color w:val="000000" w:themeColor="text1"/>
          <w:spacing w:val="0"/>
          <w:kern w:val="0"/>
          <w:sz w:val="32"/>
          <w:szCs w:val="32"/>
          <w:shd w:val="clear" w:color="auto"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jc w:val="both"/>
        <w:textAlignment w:val="auto"/>
        <w:outlineLvl w:val="9"/>
        <w:rPr>
          <w:rFonts w:hint="eastAsia" w:ascii="仿宋_GB2312" w:hAnsi="仿宋_GB2312" w:eastAsia="仿宋_GB2312" w:cs="仿宋_GB2312"/>
          <w:b w:val="0"/>
          <w:bCs/>
          <w:i w:val="0"/>
          <w:caps w:val="0"/>
          <w:color w:val="000000" w:themeColor="text1"/>
          <w:spacing w:val="0"/>
          <w:kern w:val="0"/>
          <w:sz w:val="32"/>
          <w:szCs w:val="32"/>
          <w:shd w:val="clear" w:color="auto"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jc w:val="both"/>
        <w:textAlignment w:val="auto"/>
        <w:outlineLvl w:val="9"/>
        <w:rPr>
          <w:rFonts w:hint="eastAsia" w:ascii="仿宋_GB2312" w:hAnsi="仿宋_GB2312" w:eastAsia="仿宋_GB2312" w:cs="仿宋_GB2312"/>
          <w:b w:val="0"/>
          <w:bCs/>
          <w:i w:val="0"/>
          <w:caps w:val="0"/>
          <w:color w:val="000000" w:themeColor="text1"/>
          <w:spacing w:val="0"/>
          <w:kern w:val="0"/>
          <w:sz w:val="32"/>
          <w:szCs w:val="32"/>
          <w:shd w:val="clear" w:color="auto"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jc w:val="both"/>
        <w:textAlignment w:val="auto"/>
        <w:outlineLvl w:val="9"/>
        <w:rPr>
          <w:rFonts w:hint="eastAsia" w:ascii="仿宋_GB2312" w:hAnsi="仿宋_GB2312" w:eastAsia="仿宋_GB2312" w:cs="仿宋_GB2312"/>
          <w:b w:val="0"/>
          <w:bCs/>
          <w:i w:val="0"/>
          <w:caps w:val="0"/>
          <w:color w:val="000000" w:themeColor="text1"/>
          <w:spacing w:val="0"/>
          <w:kern w:val="0"/>
          <w:sz w:val="32"/>
          <w:szCs w:val="32"/>
          <w:shd w:val="clear" w:color="auto"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jc w:val="both"/>
        <w:textAlignment w:val="auto"/>
        <w:outlineLvl w:val="9"/>
        <w:rPr>
          <w:rFonts w:hint="eastAsia" w:ascii="仿宋_GB2312" w:hAnsi="仿宋_GB2312" w:eastAsia="仿宋_GB2312" w:cs="仿宋_GB2312"/>
          <w:b w:val="0"/>
          <w:bCs/>
          <w:i w:val="0"/>
          <w:caps w:val="0"/>
          <w:color w:val="000000" w:themeColor="text1"/>
          <w:spacing w:val="0"/>
          <w:kern w:val="0"/>
          <w:sz w:val="32"/>
          <w:szCs w:val="32"/>
          <w:shd w:val="clear" w:color="auto"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jc w:val="both"/>
        <w:textAlignment w:val="auto"/>
        <w:outlineLvl w:val="9"/>
        <w:rPr>
          <w:rFonts w:hint="eastAsia" w:ascii="仿宋_GB2312" w:hAnsi="仿宋_GB2312" w:eastAsia="仿宋_GB2312" w:cs="仿宋_GB2312"/>
          <w:b w:val="0"/>
          <w:bCs/>
          <w:i w:val="0"/>
          <w:caps w:val="0"/>
          <w:color w:val="000000" w:themeColor="text1"/>
          <w:spacing w:val="0"/>
          <w:kern w:val="0"/>
          <w:sz w:val="32"/>
          <w:szCs w:val="32"/>
          <w:shd w:val="clear" w:color="auto"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jc w:val="both"/>
        <w:textAlignment w:val="auto"/>
        <w:outlineLvl w:val="9"/>
        <w:rPr>
          <w:rFonts w:hint="eastAsia" w:ascii="仿宋_GB2312" w:hAnsi="仿宋_GB2312" w:eastAsia="仿宋_GB2312" w:cs="仿宋_GB2312"/>
          <w:b w:val="0"/>
          <w:bCs/>
          <w:i w:val="0"/>
          <w:caps w:val="0"/>
          <w:color w:val="000000" w:themeColor="text1"/>
          <w:spacing w:val="0"/>
          <w:kern w:val="0"/>
          <w:sz w:val="32"/>
          <w:szCs w:val="32"/>
          <w:shd w:val="clear" w:color="auto"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jc w:val="both"/>
        <w:textAlignment w:val="auto"/>
        <w:outlineLvl w:val="9"/>
        <w:rPr>
          <w:rFonts w:hint="eastAsia" w:ascii="仿宋_GB2312" w:hAnsi="仿宋_GB2312" w:eastAsia="仿宋_GB2312" w:cs="仿宋_GB2312"/>
          <w:b w:val="0"/>
          <w:bCs/>
          <w:i w:val="0"/>
          <w:caps w:val="0"/>
          <w:color w:val="000000" w:themeColor="text1"/>
          <w:spacing w:val="0"/>
          <w:kern w:val="0"/>
          <w:sz w:val="32"/>
          <w:szCs w:val="32"/>
          <w:shd w:val="clear" w:color="auto"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jc w:val="both"/>
        <w:textAlignment w:val="auto"/>
        <w:outlineLvl w:val="9"/>
        <w:rPr>
          <w:rFonts w:hint="eastAsia" w:ascii="仿宋_GB2312" w:hAnsi="仿宋_GB2312" w:eastAsia="仿宋_GB2312" w:cs="仿宋_GB2312"/>
          <w:b w:val="0"/>
          <w:bCs/>
          <w:i w:val="0"/>
          <w:caps w:val="0"/>
          <w:color w:val="000000" w:themeColor="text1"/>
          <w:spacing w:val="0"/>
          <w:kern w:val="0"/>
          <w:sz w:val="32"/>
          <w:szCs w:val="32"/>
          <w:shd w:val="clear" w:color="auto"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jc w:val="both"/>
        <w:textAlignment w:val="auto"/>
        <w:outlineLvl w:val="9"/>
        <w:rPr>
          <w:rFonts w:hint="eastAsia" w:ascii="仿宋_GB2312" w:hAnsi="仿宋_GB2312" w:eastAsia="仿宋_GB2312" w:cs="仿宋_GB2312"/>
          <w:b w:val="0"/>
          <w:bCs/>
          <w:i w:val="0"/>
          <w:caps w:val="0"/>
          <w:color w:val="000000" w:themeColor="text1"/>
          <w:spacing w:val="0"/>
          <w:kern w:val="0"/>
          <w:sz w:val="32"/>
          <w:szCs w:val="32"/>
          <w:shd w:val="clear" w:color="auto"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jc w:val="both"/>
        <w:textAlignment w:val="auto"/>
        <w:outlineLvl w:val="9"/>
        <w:rPr>
          <w:rFonts w:hint="eastAsia" w:ascii="仿宋_GB2312" w:hAnsi="仿宋_GB2312" w:eastAsia="仿宋_GB2312" w:cs="仿宋_GB2312"/>
          <w:b w:val="0"/>
          <w:bCs/>
          <w:i w:val="0"/>
          <w:caps w:val="0"/>
          <w:color w:val="000000" w:themeColor="text1"/>
          <w:spacing w:val="0"/>
          <w:kern w:val="0"/>
          <w:sz w:val="32"/>
          <w:szCs w:val="32"/>
          <w:shd w:val="clear" w:color="auto"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jc w:val="both"/>
        <w:textAlignment w:val="auto"/>
        <w:outlineLvl w:val="9"/>
        <w:rPr>
          <w:rFonts w:hint="eastAsia" w:ascii="仿宋_GB2312" w:hAnsi="仿宋_GB2312" w:eastAsia="仿宋_GB2312" w:cs="仿宋_GB2312"/>
          <w:b w:val="0"/>
          <w:bCs/>
          <w:i w:val="0"/>
          <w:caps w:val="0"/>
          <w:color w:val="000000" w:themeColor="text1"/>
          <w:spacing w:val="0"/>
          <w:kern w:val="0"/>
          <w:sz w:val="32"/>
          <w:szCs w:val="32"/>
          <w:shd w:val="clear" w:color="auto"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jc w:val="both"/>
        <w:textAlignment w:val="auto"/>
        <w:outlineLvl w:val="9"/>
        <w:rPr>
          <w:rFonts w:hint="eastAsia" w:ascii="仿宋_GB2312" w:hAnsi="仿宋_GB2312" w:eastAsia="仿宋_GB2312" w:cs="仿宋_GB2312"/>
          <w:b w:val="0"/>
          <w:bCs/>
          <w:i w:val="0"/>
          <w:caps w:val="0"/>
          <w:color w:val="000000" w:themeColor="text1"/>
          <w:spacing w:val="0"/>
          <w:kern w:val="0"/>
          <w:sz w:val="32"/>
          <w:szCs w:val="32"/>
          <w:shd w:val="clear" w:color="auto"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jc w:val="both"/>
        <w:textAlignment w:val="auto"/>
        <w:outlineLvl w:val="9"/>
        <w:rPr>
          <w:rFonts w:hint="eastAsia" w:ascii="仿宋_GB2312" w:hAnsi="仿宋_GB2312" w:eastAsia="仿宋_GB2312" w:cs="仿宋_GB2312"/>
          <w:b w:val="0"/>
          <w:bCs/>
          <w:i w:val="0"/>
          <w:caps w:val="0"/>
          <w:color w:val="000000" w:themeColor="text1"/>
          <w:spacing w:val="0"/>
          <w:kern w:val="0"/>
          <w:sz w:val="32"/>
          <w:szCs w:val="32"/>
          <w:shd w:val="clear" w:color="auto" w:fill="FFFFFF"/>
          <w:lang w:val="en-US" w:eastAsia="zh-CN" w:bidi="ar"/>
          <w14:textFill>
            <w14:solidFill>
              <w14:schemeClr w14:val="tx1"/>
            </w14:solidFill>
          </w14:textFill>
        </w:rPr>
      </w:pPr>
    </w:p>
    <w:p>
      <w:pPr>
        <w:spacing w:before="156" w:beforeLines="50" w:line="660" w:lineRule="exact"/>
        <w:jc w:val="center"/>
        <w:rPr>
          <w:rFonts w:hint="eastAsia" w:ascii="仿宋_GB2312" w:hAnsi="仿宋" w:eastAsia="仿宋_GB2312" w:cs="仿宋"/>
          <w:color w:val="0000FF"/>
          <w:kern w:val="0"/>
          <w:sz w:val="32"/>
          <w:szCs w:val="32"/>
          <w:highlight w:val="white"/>
          <w:lang w:val="zh-CN"/>
        </w:rPr>
      </w:pPr>
      <w:r>
        <w:rPr>
          <w:rFonts w:hint="eastAsia" w:ascii="仿宋_GB2312" w:hAnsi="仿宋" w:eastAsia="仿宋_GB2312" w:cs="仿宋"/>
          <w:color w:val="000000"/>
          <w:kern w:val="0"/>
          <w:sz w:val="32"/>
          <w:szCs w:val="32"/>
          <w:highlight w:val="white"/>
          <w:lang w:val="zh-C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106680</wp:posOffset>
                </wp:positionV>
                <wp:extent cx="537083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37083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8.4pt;height:0.05pt;width:422.9pt;z-index:251659264;mso-width-relative:page;mso-height-relative:page;" filled="f" stroked="t" coordsize="21600,21600" o:gfxdata="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DSLCNQAAAAGAQAADwAAAAAAAAABACAAAAAiAAAAZHJzL2Rvd25yZXYueG1sUEsBAhQA&#10;FAAAAAgAh07iQI5YIvf2AQAA5gMAAA4AAAAAAAAAAQAgAAAAIwEAAGRycy9lMm9Eb2MueG1sUEsF&#10;BgAAAAAGAAYAWQEAAIsFAAAAAA==&#10;">
                <v:fill on="f" focussize="0,0"/>
                <v:stroke color="#000000" joinstyle="round"/>
                <v:imagedata o:title=""/>
                <o:lock v:ext="edit" aspectratio="f"/>
              </v:line>
            </w:pict>
          </mc:Fallback>
        </mc:AlternateContent>
      </w:r>
      <w:r>
        <w:rPr>
          <w:rFonts w:hint="eastAsia" w:ascii="仿宋_GB2312" w:hAnsi="仿宋" w:eastAsia="仿宋_GB2312" w:cs="仿宋"/>
          <w:color w:val="000000"/>
          <w:kern w:val="0"/>
          <w:sz w:val="32"/>
          <w:szCs w:val="32"/>
          <w:highlight w:val="white"/>
          <w:lang w:val="zh-CN"/>
        </w:rPr>
        <w:t>夏邑县十五届人大</w:t>
      </w:r>
      <w:r>
        <w:rPr>
          <w:rFonts w:hint="eastAsia" w:ascii="仿宋_GB2312" w:hAnsi="仿宋" w:eastAsia="仿宋_GB2312" w:cs="仿宋"/>
          <w:color w:val="000000"/>
          <w:kern w:val="0"/>
          <w:sz w:val="32"/>
          <w:szCs w:val="32"/>
          <w:highlight w:val="white"/>
          <w:lang w:val="en-US" w:eastAsia="zh-CN"/>
        </w:rPr>
        <w:t>五</w:t>
      </w:r>
      <w:r>
        <w:rPr>
          <w:rFonts w:hint="eastAsia" w:ascii="仿宋_GB2312" w:hAnsi="仿宋" w:eastAsia="仿宋_GB2312" w:cs="仿宋"/>
          <w:color w:val="000000"/>
          <w:kern w:val="0"/>
          <w:sz w:val="32"/>
          <w:szCs w:val="32"/>
          <w:highlight w:val="white"/>
          <w:lang w:val="zh-CN"/>
        </w:rPr>
        <w:t xml:space="preserve">次会议秘书处   </w:t>
      </w:r>
      <w:r>
        <w:rPr>
          <w:rFonts w:hint="eastAsia" w:ascii="仿宋_GB2312" w:hAnsi="仿宋" w:eastAsia="仿宋_GB2312" w:cs="仿宋"/>
          <w:color w:val="000000"/>
          <w:kern w:val="0"/>
          <w:sz w:val="32"/>
          <w:szCs w:val="32"/>
          <w:highlight w:val="white"/>
          <w:lang w:val="en-US" w:eastAsia="zh-CN"/>
        </w:rPr>
        <w:t xml:space="preserve"> </w:t>
      </w:r>
      <w:r>
        <w:rPr>
          <w:rFonts w:hint="eastAsia" w:ascii="仿宋_GB2312" w:hAnsi="仿宋" w:eastAsia="仿宋_GB2312" w:cs="仿宋"/>
          <w:color w:val="000000"/>
          <w:kern w:val="0"/>
          <w:sz w:val="32"/>
          <w:szCs w:val="32"/>
          <w:highlight w:val="white"/>
          <w:lang w:val="zh-CN"/>
        </w:rPr>
        <w:t xml:space="preserve"> </w:t>
      </w:r>
      <w:r>
        <w:rPr>
          <w:rFonts w:hint="eastAsia" w:ascii="仿宋_GB2312" w:hAnsi="仿宋" w:eastAsia="仿宋_GB2312" w:cs="仿宋"/>
          <w:color w:val="000000"/>
          <w:kern w:val="0"/>
          <w:sz w:val="32"/>
          <w:szCs w:val="32"/>
          <w:highlight w:val="white"/>
          <w:lang w:val="en-US" w:eastAsia="zh-CN"/>
        </w:rPr>
        <w:t>2021</w:t>
      </w:r>
      <w:r>
        <w:rPr>
          <w:rFonts w:hint="eastAsia" w:ascii="仿宋_GB2312" w:hAnsi="仿宋" w:eastAsia="仿宋_GB2312" w:cs="仿宋"/>
          <w:color w:val="000000"/>
          <w:kern w:val="0"/>
          <w:sz w:val="32"/>
          <w:szCs w:val="32"/>
          <w:highlight w:val="white"/>
          <w:lang w:val="zh-CN" w:eastAsia="zh-CN"/>
        </w:rPr>
        <w:t>年</w:t>
      </w:r>
      <w:r>
        <w:rPr>
          <w:rFonts w:hint="eastAsia" w:ascii="仿宋_GB2312" w:hAnsi="仿宋" w:eastAsia="仿宋_GB2312" w:cs="仿宋"/>
          <w:color w:val="000000"/>
          <w:kern w:val="0"/>
          <w:sz w:val="32"/>
          <w:szCs w:val="32"/>
          <w:highlight w:val="white"/>
          <w:lang w:val="en-US" w:eastAsia="zh-CN"/>
        </w:rPr>
        <w:t>9</w:t>
      </w:r>
      <w:r>
        <w:rPr>
          <w:rFonts w:hint="eastAsia" w:ascii="仿宋_GB2312" w:hAnsi="仿宋" w:eastAsia="仿宋_GB2312" w:cs="仿宋"/>
          <w:color w:val="000000"/>
          <w:kern w:val="0"/>
          <w:sz w:val="32"/>
          <w:szCs w:val="32"/>
          <w:highlight w:val="white"/>
          <w:lang w:val="zh-CN" w:eastAsia="zh-CN"/>
        </w:rPr>
        <w:t>月</w:t>
      </w:r>
      <w:r>
        <w:rPr>
          <w:rFonts w:hint="eastAsia" w:ascii="仿宋_GB2312" w:hAnsi="仿宋" w:eastAsia="仿宋_GB2312" w:cs="仿宋"/>
          <w:color w:val="000000"/>
          <w:kern w:val="0"/>
          <w:sz w:val="32"/>
          <w:szCs w:val="32"/>
          <w:highlight w:val="white"/>
          <w:lang w:val="en-US" w:eastAsia="zh-CN"/>
        </w:rPr>
        <w:t>23</w:t>
      </w:r>
      <w:r>
        <w:rPr>
          <w:rFonts w:hint="eastAsia" w:ascii="仿宋_GB2312" w:hAnsi="仿宋" w:eastAsia="仿宋_GB2312" w:cs="仿宋"/>
          <w:color w:val="000000"/>
          <w:kern w:val="0"/>
          <w:sz w:val="32"/>
          <w:szCs w:val="32"/>
          <w:highlight w:val="white"/>
          <w:lang w:val="zh-CN" w:eastAsia="zh-CN"/>
        </w:rPr>
        <w:t>日印</w:t>
      </w:r>
    </w:p>
    <w:p>
      <w:pPr>
        <w:spacing w:line="660" w:lineRule="exact"/>
        <w:ind w:firstLine="200"/>
        <w:jc w:val="right"/>
        <w:rPr>
          <w:rFonts w:hint="eastAsia" w:eastAsiaTheme="minorEastAsia"/>
          <w:b w:val="0"/>
          <w:bCs/>
          <w:color w:val="000000" w:themeColor="text1"/>
          <w:sz w:val="32"/>
          <w:szCs w:val="32"/>
          <w:lang w:val="en-US" w:eastAsia="zh-CN"/>
          <w14:textFill>
            <w14:solidFill>
              <w14:schemeClr w14:val="tx1"/>
            </w14:solidFill>
          </w14:textFill>
        </w:rPr>
      </w:pPr>
      <w:r>
        <w:rPr>
          <w:rFonts w:hint="eastAsia" w:ascii="仿宋_GB2312"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71120</wp:posOffset>
                </wp:positionV>
                <wp:extent cx="5400675"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4006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6pt;height:0.05pt;width:425.25pt;z-index:251660288;mso-width-relative:page;mso-height-relative:page;" filled="f" stroked="t" coordsize="21600,21600" o:gfxdata="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GiPKI1AAAAAYBAAAPAAAAAAAAAAEAIAAAACIAAABkcnMvZG93bnJldi54bWxQSwECFAAU&#10;AAAACACHTuJAAfwJVPUBAADmAwAADgAAAAAAAAABACAAAAAjAQAAZHJzL2Uyb0RvYy54bWxQSwUG&#10;AAAAAAYABgBZAQAAigUAAAAA&#10;">
                <v:fill on="f" focussize="0,0"/>
                <v:stroke color="#000000" joinstyle="round"/>
                <v:imagedata o:title=""/>
                <o:lock v:ext="edit" aspectratio="f"/>
              </v:line>
            </w:pict>
          </mc:Fallback>
        </mc:AlternateContent>
      </w:r>
      <w:r>
        <w:rPr>
          <w:rFonts w:hint="eastAsia" w:ascii="仿宋_GB2312" w:eastAsia="仿宋_GB2312"/>
          <w:sz w:val="32"/>
          <w:szCs w:val="32"/>
        </w:rPr>
        <w:t xml:space="preserve">（共印1000份）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Yu Mincho">
    <w:altName w:val="Yu Gothic"/>
    <w:panose1 w:val="00000000000000000000"/>
    <w:charset w:val="80"/>
    <w:family w:val="roman"/>
    <w:pitch w:val="default"/>
    <w:sig w:usb0="00000000" w:usb1="00000000" w:usb2="00000012" w:usb3="00000000" w:csb0="0002009F"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2157095"/>
    </w:sdtPr>
    <w:sdtContent>
      <w:p>
        <w:pPr>
          <w:pStyle w:val="8"/>
          <w:jc w:val="center"/>
        </w:pPr>
        <w:r>
          <w:fldChar w:fldCharType="begin"/>
        </w:r>
        <w:r>
          <w:instrText xml:space="preserve">PAGE   \* MERGEFORMAT</w:instrText>
        </w:r>
        <w:r>
          <w:fldChar w:fldCharType="separate"/>
        </w:r>
        <w:r>
          <w:rPr>
            <w:lang w:val="zh-CN"/>
          </w:rPr>
          <w:t>85</w:t>
        </w:r>
        <w: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11"/>
      </w:pPr>
      <w:r>
        <w:rPr>
          <w:rStyle w:val="21"/>
        </w:rPr>
        <w:footnoteRef/>
      </w:r>
      <w:r>
        <w:t xml:space="preserve"> </w:t>
      </w:r>
      <w:r>
        <w:rPr>
          <w:rFonts w:hint="eastAsia"/>
        </w:rPr>
        <w:t>太平镇市级板山羊黄花菜现代农业产业园、郭店镇市级桂柳鸭现代农业产业园、罗庄镇市级优质高粱现代农业产业园和马头镇市级何首乌现代农业产业园。</w:t>
      </w:r>
    </w:p>
  </w:footnote>
  <w:footnote w:id="1">
    <w:p>
      <w:pPr>
        <w:pStyle w:val="11"/>
      </w:pPr>
      <w:r>
        <w:rPr>
          <w:rStyle w:val="21"/>
        </w:rPr>
        <w:footnoteRef/>
      </w:r>
      <w:r>
        <w:t xml:space="preserve"> </w:t>
      </w:r>
      <w:r>
        <w:rPr>
          <w:rFonts w:hint="eastAsia"/>
        </w:rPr>
        <w:t>“1”是区社会组织联合会，“5”是乡贤参事议事类、平安巡防类、乡风文明类、志愿服务类、矛盾调解类等五类基础型社会组织，“</w:t>
      </w:r>
      <w:r>
        <w:t>X”</w:t>
      </w:r>
      <w:r>
        <w:rPr>
          <w:rFonts w:hint="eastAsia"/>
        </w:rPr>
        <w:t>是因村制宜培育个性化社会组织。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4"/>
    <w:footnote w:id="5"/>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4E1"/>
    <w:rsid w:val="00000BAE"/>
    <w:rsid w:val="00003FFA"/>
    <w:rsid w:val="00004F9C"/>
    <w:rsid w:val="0000508A"/>
    <w:rsid w:val="00006797"/>
    <w:rsid w:val="000075FB"/>
    <w:rsid w:val="000079CF"/>
    <w:rsid w:val="000124FD"/>
    <w:rsid w:val="000140D2"/>
    <w:rsid w:val="0001466A"/>
    <w:rsid w:val="000152FB"/>
    <w:rsid w:val="00015BE9"/>
    <w:rsid w:val="00015C47"/>
    <w:rsid w:val="000167EB"/>
    <w:rsid w:val="00021118"/>
    <w:rsid w:val="00023D86"/>
    <w:rsid w:val="00024602"/>
    <w:rsid w:val="000269D2"/>
    <w:rsid w:val="00027A71"/>
    <w:rsid w:val="00027ACF"/>
    <w:rsid w:val="00027DB4"/>
    <w:rsid w:val="00030130"/>
    <w:rsid w:val="000306F9"/>
    <w:rsid w:val="0003070B"/>
    <w:rsid w:val="00030714"/>
    <w:rsid w:val="00030D37"/>
    <w:rsid w:val="00034402"/>
    <w:rsid w:val="00035328"/>
    <w:rsid w:val="000362FB"/>
    <w:rsid w:val="00040141"/>
    <w:rsid w:val="000408F5"/>
    <w:rsid w:val="000414BA"/>
    <w:rsid w:val="000421EF"/>
    <w:rsid w:val="000430D5"/>
    <w:rsid w:val="00043A57"/>
    <w:rsid w:val="000446A8"/>
    <w:rsid w:val="00045125"/>
    <w:rsid w:val="000452E7"/>
    <w:rsid w:val="00051EC8"/>
    <w:rsid w:val="0005306B"/>
    <w:rsid w:val="0005456C"/>
    <w:rsid w:val="000562C0"/>
    <w:rsid w:val="00056419"/>
    <w:rsid w:val="00057DC9"/>
    <w:rsid w:val="00061598"/>
    <w:rsid w:val="00061D39"/>
    <w:rsid w:val="00064473"/>
    <w:rsid w:val="000649BF"/>
    <w:rsid w:val="00064FD6"/>
    <w:rsid w:val="0006600A"/>
    <w:rsid w:val="00066591"/>
    <w:rsid w:val="00066D1E"/>
    <w:rsid w:val="000726E4"/>
    <w:rsid w:val="00073891"/>
    <w:rsid w:val="00073F86"/>
    <w:rsid w:val="000743A8"/>
    <w:rsid w:val="00075334"/>
    <w:rsid w:val="00076648"/>
    <w:rsid w:val="00077E2A"/>
    <w:rsid w:val="000820D6"/>
    <w:rsid w:val="00083917"/>
    <w:rsid w:val="000849BA"/>
    <w:rsid w:val="00085942"/>
    <w:rsid w:val="00090C53"/>
    <w:rsid w:val="00091804"/>
    <w:rsid w:val="00096C87"/>
    <w:rsid w:val="000A34DF"/>
    <w:rsid w:val="000A5110"/>
    <w:rsid w:val="000A63FA"/>
    <w:rsid w:val="000A773E"/>
    <w:rsid w:val="000A7E8D"/>
    <w:rsid w:val="000B11D5"/>
    <w:rsid w:val="000B3860"/>
    <w:rsid w:val="000B5101"/>
    <w:rsid w:val="000B5523"/>
    <w:rsid w:val="000C0F14"/>
    <w:rsid w:val="000C11A6"/>
    <w:rsid w:val="000C1309"/>
    <w:rsid w:val="000C1640"/>
    <w:rsid w:val="000C18DD"/>
    <w:rsid w:val="000C1F9E"/>
    <w:rsid w:val="000C2E0D"/>
    <w:rsid w:val="000C36F2"/>
    <w:rsid w:val="000C6640"/>
    <w:rsid w:val="000C6C87"/>
    <w:rsid w:val="000D1884"/>
    <w:rsid w:val="000D266C"/>
    <w:rsid w:val="000D304A"/>
    <w:rsid w:val="000D369A"/>
    <w:rsid w:val="000D51E9"/>
    <w:rsid w:val="000D574B"/>
    <w:rsid w:val="000D5990"/>
    <w:rsid w:val="000D6F14"/>
    <w:rsid w:val="000E02AD"/>
    <w:rsid w:val="000E0573"/>
    <w:rsid w:val="000E0B68"/>
    <w:rsid w:val="000E124A"/>
    <w:rsid w:val="000E28D7"/>
    <w:rsid w:val="000E41FE"/>
    <w:rsid w:val="000E637D"/>
    <w:rsid w:val="000F3088"/>
    <w:rsid w:val="000F517C"/>
    <w:rsid w:val="000F57EC"/>
    <w:rsid w:val="000F623F"/>
    <w:rsid w:val="001008E8"/>
    <w:rsid w:val="00100C8F"/>
    <w:rsid w:val="0010205E"/>
    <w:rsid w:val="00104C87"/>
    <w:rsid w:val="00105AEC"/>
    <w:rsid w:val="001108E9"/>
    <w:rsid w:val="00112126"/>
    <w:rsid w:val="00112671"/>
    <w:rsid w:val="00112DC1"/>
    <w:rsid w:val="001134B1"/>
    <w:rsid w:val="0011352B"/>
    <w:rsid w:val="00113FA8"/>
    <w:rsid w:val="001144FE"/>
    <w:rsid w:val="00115699"/>
    <w:rsid w:val="0011642A"/>
    <w:rsid w:val="0012391C"/>
    <w:rsid w:val="00123E6D"/>
    <w:rsid w:val="00124608"/>
    <w:rsid w:val="00124D58"/>
    <w:rsid w:val="00125D01"/>
    <w:rsid w:val="0013064A"/>
    <w:rsid w:val="00130B43"/>
    <w:rsid w:val="0013138D"/>
    <w:rsid w:val="001318E1"/>
    <w:rsid w:val="001319B6"/>
    <w:rsid w:val="00132C33"/>
    <w:rsid w:val="0013342D"/>
    <w:rsid w:val="001342FA"/>
    <w:rsid w:val="00135271"/>
    <w:rsid w:val="0013578E"/>
    <w:rsid w:val="00136CEC"/>
    <w:rsid w:val="00136E44"/>
    <w:rsid w:val="00137715"/>
    <w:rsid w:val="00137994"/>
    <w:rsid w:val="00137D4D"/>
    <w:rsid w:val="001424ED"/>
    <w:rsid w:val="001424F4"/>
    <w:rsid w:val="001438F0"/>
    <w:rsid w:val="00144ECD"/>
    <w:rsid w:val="00146373"/>
    <w:rsid w:val="001468A8"/>
    <w:rsid w:val="00153487"/>
    <w:rsid w:val="0015413E"/>
    <w:rsid w:val="00156EB9"/>
    <w:rsid w:val="00157B5B"/>
    <w:rsid w:val="00157C5C"/>
    <w:rsid w:val="001615AF"/>
    <w:rsid w:val="00163208"/>
    <w:rsid w:val="001633BC"/>
    <w:rsid w:val="00164701"/>
    <w:rsid w:val="00165B49"/>
    <w:rsid w:val="00167E83"/>
    <w:rsid w:val="00170977"/>
    <w:rsid w:val="00172BD4"/>
    <w:rsid w:val="0017562E"/>
    <w:rsid w:val="001761BC"/>
    <w:rsid w:val="00176468"/>
    <w:rsid w:val="00176C9A"/>
    <w:rsid w:val="00177BAE"/>
    <w:rsid w:val="0018045B"/>
    <w:rsid w:val="00180CE1"/>
    <w:rsid w:val="0018180C"/>
    <w:rsid w:val="0018247E"/>
    <w:rsid w:val="001828D9"/>
    <w:rsid w:val="00185D18"/>
    <w:rsid w:val="00186E69"/>
    <w:rsid w:val="001878E2"/>
    <w:rsid w:val="00187FAE"/>
    <w:rsid w:val="0019069D"/>
    <w:rsid w:val="00190A1E"/>
    <w:rsid w:val="001924F5"/>
    <w:rsid w:val="001A059A"/>
    <w:rsid w:val="001A10D3"/>
    <w:rsid w:val="001A2880"/>
    <w:rsid w:val="001A315B"/>
    <w:rsid w:val="001A31FF"/>
    <w:rsid w:val="001A4344"/>
    <w:rsid w:val="001A4D90"/>
    <w:rsid w:val="001A53AF"/>
    <w:rsid w:val="001A5442"/>
    <w:rsid w:val="001A6387"/>
    <w:rsid w:val="001A6602"/>
    <w:rsid w:val="001A6C5E"/>
    <w:rsid w:val="001A7B73"/>
    <w:rsid w:val="001A7F15"/>
    <w:rsid w:val="001B12C0"/>
    <w:rsid w:val="001B2651"/>
    <w:rsid w:val="001B2E64"/>
    <w:rsid w:val="001B3149"/>
    <w:rsid w:val="001B366D"/>
    <w:rsid w:val="001B4CC6"/>
    <w:rsid w:val="001B69F8"/>
    <w:rsid w:val="001B7C2D"/>
    <w:rsid w:val="001C1C6F"/>
    <w:rsid w:val="001C2976"/>
    <w:rsid w:val="001C2B1F"/>
    <w:rsid w:val="001C41E8"/>
    <w:rsid w:val="001C586B"/>
    <w:rsid w:val="001C6877"/>
    <w:rsid w:val="001D0003"/>
    <w:rsid w:val="001D0FA6"/>
    <w:rsid w:val="001D1B89"/>
    <w:rsid w:val="001D1C58"/>
    <w:rsid w:val="001D2F7F"/>
    <w:rsid w:val="001D3303"/>
    <w:rsid w:val="001D64FC"/>
    <w:rsid w:val="001E098E"/>
    <w:rsid w:val="001E1CEE"/>
    <w:rsid w:val="001E2CDC"/>
    <w:rsid w:val="001E4151"/>
    <w:rsid w:val="001E42B7"/>
    <w:rsid w:val="001E5FE4"/>
    <w:rsid w:val="001E637E"/>
    <w:rsid w:val="001E7331"/>
    <w:rsid w:val="001E7DF9"/>
    <w:rsid w:val="001F005C"/>
    <w:rsid w:val="001F3154"/>
    <w:rsid w:val="001F3D49"/>
    <w:rsid w:val="001F5B4F"/>
    <w:rsid w:val="001F717B"/>
    <w:rsid w:val="002007F0"/>
    <w:rsid w:val="00201845"/>
    <w:rsid w:val="002019F9"/>
    <w:rsid w:val="00201A59"/>
    <w:rsid w:val="0020465F"/>
    <w:rsid w:val="00206905"/>
    <w:rsid w:val="00206C54"/>
    <w:rsid w:val="002077FE"/>
    <w:rsid w:val="00207C11"/>
    <w:rsid w:val="00207DEB"/>
    <w:rsid w:val="00210A0E"/>
    <w:rsid w:val="00211B56"/>
    <w:rsid w:val="00213523"/>
    <w:rsid w:val="00213842"/>
    <w:rsid w:val="002146DC"/>
    <w:rsid w:val="00217BA8"/>
    <w:rsid w:val="0022028B"/>
    <w:rsid w:val="00220363"/>
    <w:rsid w:val="002203D8"/>
    <w:rsid w:val="0022248A"/>
    <w:rsid w:val="002244A8"/>
    <w:rsid w:val="0022462E"/>
    <w:rsid w:val="002246A6"/>
    <w:rsid w:val="00224F66"/>
    <w:rsid w:val="0022584E"/>
    <w:rsid w:val="002312D2"/>
    <w:rsid w:val="00233382"/>
    <w:rsid w:val="00233D32"/>
    <w:rsid w:val="00234ABA"/>
    <w:rsid w:val="00234D34"/>
    <w:rsid w:val="00235951"/>
    <w:rsid w:val="002423DD"/>
    <w:rsid w:val="00245F50"/>
    <w:rsid w:val="0024775A"/>
    <w:rsid w:val="0025150E"/>
    <w:rsid w:val="00253C5F"/>
    <w:rsid w:val="00253EDF"/>
    <w:rsid w:val="002544E9"/>
    <w:rsid w:val="00255727"/>
    <w:rsid w:val="0025741F"/>
    <w:rsid w:val="0025755B"/>
    <w:rsid w:val="00260073"/>
    <w:rsid w:val="002604EC"/>
    <w:rsid w:val="00261A4F"/>
    <w:rsid w:val="002631F9"/>
    <w:rsid w:val="00265CA0"/>
    <w:rsid w:val="0027078B"/>
    <w:rsid w:val="00273F77"/>
    <w:rsid w:val="00274033"/>
    <w:rsid w:val="0027503D"/>
    <w:rsid w:val="002773FC"/>
    <w:rsid w:val="0027744A"/>
    <w:rsid w:val="00277DAF"/>
    <w:rsid w:val="00280E5A"/>
    <w:rsid w:val="00281EA8"/>
    <w:rsid w:val="00282C3B"/>
    <w:rsid w:val="00282D5B"/>
    <w:rsid w:val="00283022"/>
    <w:rsid w:val="00283B85"/>
    <w:rsid w:val="002841E3"/>
    <w:rsid w:val="00284DAC"/>
    <w:rsid w:val="00285184"/>
    <w:rsid w:val="0028595E"/>
    <w:rsid w:val="002925B0"/>
    <w:rsid w:val="00292C23"/>
    <w:rsid w:val="00295EFC"/>
    <w:rsid w:val="00296076"/>
    <w:rsid w:val="00296A69"/>
    <w:rsid w:val="00296D75"/>
    <w:rsid w:val="00297DC1"/>
    <w:rsid w:val="002A11B9"/>
    <w:rsid w:val="002A21C7"/>
    <w:rsid w:val="002A28F1"/>
    <w:rsid w:val="002A2B05"/>
    <w:rsid w:val="002A56FD"/>
    <w:rsid w:val="002A5F15"/>
    <w:rsid w:val="002B0216"/>
    <w:rsid w:val="002B0434"/>
    <w:rsid w:val="002B1B04"/>
    <w:rsid w:val="002B5DEA"/>
    <w:rsid w:val="002C333E"/>
    <w:rsid w:val="002C4EE6"/>
    <w:rsid w:val="002D0364"/>
    <w:rsid w:val="002D17B2"/>
    <w:rsid w:val="002D18FB"/>
    <w:rsid w:val="002D20F7"/>
    <w:rsid w:val="002D4CAA"/>
    <w:rsid w:val="002D4DA6"/>
    <w:rsid w:val="002D4F02"/>
    <w:rsid w:val="002D5D74"/>
    <w:rsid w:val="002D63C5"/>
    <w:rsid w:val="002D74BA"/>
    <w:rsid w:val="002E00BE"/>
    <w:rsid w:val="002E082F"/>
    <w:rsid w:val="002E180C"/>
    <w:rsid w:val="002E5938"/>
    <w:rsid w:val="002E6E94"/>
    <w:rsid w:val="002E7F9F"/>
    <w:rsid w:val="002F0788"/>
    <w:rsid w:val="002F3800"/>
    <w:rsid w:val="002F73C7"/>
    <w:rsid w:val="002F752C"/>
    <w:rsid w:val="002F75F9"/>
    <w:rsid w:val="002F7F3A"/>
    <w:rsid w:val="0030149B"/>
    <w:rsid w:val="00301F28"/>
    <w:rsid w:val="00306ED1"/>
    <w:rsid w:val="00307410"/>
    <w:rsid w:val="003101B3"/>
    <w:rsid w:val="00312A0D"/>
    <w:rsid w:val="00314AF3"/>
    <w:rsid w:val="003168B8"/>
    <w:rsid w:val="00317883"/>
    <w:rsid w:val="00317AB4"/>
    <w:rsid w:val="003206A9"/>
    <w:rsid w:val="00320818"/>
    <w:rsid w:val="00322363"/>
    <w:rsid w:val="00322421"/>
    <w:rsid w:val="00323B76"/>
    <w:rsid w:val="00326FE6"/>
    <w:rsid w:val="0032732A"/>
    <w:rsid w:val="00327413"/>
    <w:rsid w:val="00331D5B"/>
    <w:rsid w:val="003349DF"/>
    <w:rsid w:val="00343084"/>
    <w:rsid w:val="003447A9"/>
    <w:rsid w:val="00344F40"/>
    <w:rsid w:val="0034641E"/>
    <w:rsid w:val="003479DB"/>
    <w:rsid w:val="0035001D"/>
    <w:rsid w:val="00350950"/>
    <w:rsid w:val="00351662"/>
    <w:rsid w:val="00353B96"/>
    <w:rsid w:val="00357C5B"/>
    <w:rsid w:val="00360BDB"/>
    <w:rsid w:val="003618B2"/>
    <w:rsid w:val="00361CA3"/>
    <w:rsid w:val="00362B4E"/>
    <w:rsid w:val="00363152"/>
    <w:rsid w:val="003637FE"/>
    <w:rsid w:val="003644C2"/>
    <w:rsid w:val="00366D7E"/>
    <w:rsid w:val="00370DBD"/>
    <w:rsid w:val="00371B83"/>
    <w:rsid w:val="003736A3"/>
    <w:rsid w:val="00374BAE"/>
    <w:rsid w:val="00377320"/>
    <w:rsid w:val="003777B6"/>
    <w:rsid w:val="00381E71"/>
    <w:rsid w:val="00382B20"/>
    <w:rsid w:val="003839BC"/>
    <w:rsid w:val="00385545"/>
    <w:rsid w:val="00387283"/>
    <w:rsid w:val="00390914"/>
    <w:rsid w:val="003913B6"/>
    <w:rsid w:val="0039368B"/>
    <w:rsid w:val="00396C60"/>
    <w:rsid w:val="0039718F"/>
    <w:rsid w:val="00397A98"/>
    <w:rsid w:val="003A05C4"/>
    <w:rsid w:val="003A2716"/>
    <w:rsid w:val="003A45B5"/>
    <w:rsid w:val="003A70B5"/>
    <w:rsid w:val="003B017A"/>
    <w:rsid w:val="003B7FDA"/>
    <w:rsid w:val="003C009A"/>
    <w:rsid w:val="003C16EB"/>
    <w:rsid w:val="003C41C6"/>
    <w:rsid w:val="003C503E"/>
    <w:rsid w:val="003C552B"/>
    <w:rsid w:val="003C6AF0"/>
    <w:rsid w:val="003D2A2D"/>
    <w:rsid w:val="003D4C55"/>
    <w:rsid w:val="003E21C4"/>
    <w:rsid w:val="003E442A"/>
    <w:rsid w:val="003E7318"/>
    <w:rsid w:val="003F017B"/>
    <w:rsid w:val="003F06D7"/>
    <w:rsid w:val="003F1DFA"/>
    <w:rsid w:val="003F2D22"/>
    <w:rsid w:val="003F3EDB"/>
    <w:rsid w:val="003F6395"/>
    <w:rsid w:val="003F6630"/>
    <w:rsid w:val="003F6F36"/>
    <w:rsid w:val="003F7EBB"/>
    <w:rsid w:val="00400E12"/>
    <w:rsid w:val="004018F7"/>
    <w:rsid w:val="004031A6"/>
    <w:rsid w:val="00404831"/>
    <w:rsid w:val="00404B12"/>
    <w:rsid w:val="00405032"/>
    <w:rsid w:val="00407AAE"/>
    <w:rsid w:val="00413A9F"/>
    <w:rsid w:val="00413EC7"/>
    <w:rsid w:val="004147D8"/>
    <w:rsid w:val="00414812"/>
    <w:rsid w:val="00414D27"/>
    <w:rsid w:val="00414EBC"/>
    <w:rsid w:val="004156FA"/>
    <w:rsid w:val="00416C1F"/>
    <w:rsid w:val="0042035C"/>
    <w:rsid w:val="00421D32"/>
    <w:rsid w:val="0042245B"/>
    <w:rsid w:val="00422514"/>
    <w:rsid w:val="00424471"/>
    <w:rsid w:val="0042595F"/>
    <w:rsid w:val="00427856"/>
    <w:rsid w:val="00430BF0"/>
    <w:rsid w:val="00430CB8"/>
    <w:rsid w:val="004320CC"/>
    <w:rsid w:val="00432308"/>
    <w:rsid w:val="0043484E"/>
    <w:rsid w:val="00434CDC"/>
    <w:rsid w:val="00437BFC"/>
    <w:rsid w:val="004403C9"/>
    <w:rsid w:val="0044279B"/>
    <w:rsid w:val="004427EB"/>
    <w:rsid w:val="004444B1"/>
    <w:rsid w:val="00445A47"/>
    <w:rsid w:val="00445F21"/>
    <w:rsid w:val="00446962"/>
    <w:rsid w:val="00446D5D"/>
    <w:rsid w:val="0044745F"/>
    <w:rsid w:val="0044773A"/>
    <w:rsid w:val="00450D68"/>
    <w:rsid w:val="004517C8"/>
    <w:rsid w:val="0045187C"/>
    <w:rsid w:val="00451F27"/>
    <w:rsid w:val="00452822"/>
    <w:rsid w:val="00452A96"/>
    <w:rsid w:val="00452C4F"/>
    <w:rsid w:val="0045757C"/>
    <w:rsid w:val="0046090A"/>
    <w:rsid w:val="00462DE2"/>
    <w:rsid w:val="004631F7"/>
    <w:rsid w:val="0046437E"/>
    <w:rsid w:val="00467288"/>
    <w:rsid w:val="004674E1"/>
    <w:rsid w:val="00471BD6"/>
    <w:rsid w:val="004721C2"/>
    <w:rsid w:val="00472FFC"/>
    <w:rsid w:val="00473752"/>
    <w:rsid w:val="004745DC"/>
    <w:rsid w:val="004754A6"/>
    <w:rsid w:val="004757F3"/>
    <w:rsid w:val="00475B55"/>
    <w:rsid w:val="00477A50"/>
    <w:rsid w:val="00477E89"/>
    <w:rsid w:val="004834DB"/>
    <w:rsid w:val="00485611"/>
    <w:rsid w:val="00485869"/>
    <w:rsid w:val="00486CCF"/>
    <w:rsid w:val="00486DB9"/>
    <w:rsid w:val="004875E3"/>
    <w:rsid w:val="00491167"/>
    <w:rsid w:val="00491686"/>
    <w:rsid w:val="00491C8B"/>
    <w:rsid w:val="004934D2"/>
    <w:rsid w:val="0049438B"/>
    <w:rsid w:val="0049798C"/>
    <w:rsid w:val="004A0461"/>
    <w:rsid w:val="004A1AF1"/>
    <w:rsid w:val="004A1C15"/>
    <w:rsid w:val="004A258C"/>
    <w:rsid w:val="004A5443"/>
    <w:rsid w:val="004A576A"/>
    <w:rsid w:val="004A601A"/>
    <w:rsid w:val="004B2893"/>
    <w:rsid w:val="004B4916"/>
    <w:rsid w:val="004B5610"/>
    <w:rsid w:val="004C1E7F"/>
    <w:rsid w:val="004C3180"/>
    <w:rsid w:val="004C3441"/>
    <w:rsid w:val="004C4242"/>
    <w:rsid w:val="004C4C92"/>
    <w:rsid w:val="004C4CCB"/>
    <w:rsid w:val="004C539F"/>
    <w:rsid w:val="004C5CC0"/>
    <w:rsid w:val="004D078A"/>
    <w:rsid w:val="004D35FD"/>
    <w:rsid w:val="004D4345"/>
    <w:rsid w:val="004D6593"/>
    <w:rsid w:val="004D7207"/>
    <w:rsid w:val="004E060B"/>
    <w:rsid w:val="004E0EE3"/>
    <w:rsid w:val="004E15C2"/>
    <w:rsid w:val="004E471E"/>
    <w:rsid w:val="004E5B45"/>
    <w:rsid w:val="004E6E0F"/>
    <w:rsid w:val="004E73FF"/>
    <w:rsid w:val="004F0C09"/>
    <w:rsid w:val="004F2443"/>
    <w:rsid w:val="004F4E2E"/>
    <w:rsid w:val="004F66B1"/>
    <w:rsid w:val="00501896"/>
    <w:rsid w:val="005028CE"/>
    <w:rsid w:val="00502D2C"/>
    <w:rsid w:val="00503657"/>
    <w:rsid w:val="00503660"/>
    <w:rsid w:val="0050371E"/>
    <w:rsid w:val="00503CC3"/>
    <w:rsid w:val="005058FD"/>
    <w:rsid w:val="0050772A"/>
    <w:rsid w:val="0051070F"/>
    <w:rsid w:val="00511224"/>
    <w:rsid w:val="00513669"/>
    <w:rsid w:val="005145F0"/>
    <w:rsid w:val="0051617E"/>
    <w:rsid w:val="00516BF8"/>
    <w:rsid w:val="00516C5F"/>
    <w:rsid w:val="0052003E"/>
    <w:rsid w:val="00521265"/>
    <w:rsid w:val="005212AE"/>
    <w:rsid w:val="00523B66"/>
    <w:rsid w:val="00524787"/>
    <w:rsid w:val="005251AF"/>
    <w:rsid w:val="00525CAB"/>
    <w:rsid w:val="00525CF4"/>
    <w:rsid w:val="0053103D"/>
    <w:rsid w:val="005335C3"/>
    <w:rsid w:val="00533638"/>
    <w:rsid w:val="00533775"/>
    <w:rsid w:val="00533F3F"/>
    <w:rsid w:val="00535526"/>
    <w:rsid w:val="00540AA2"/>
    <w:rsid w:val="00542B8E"/>
    <w:rsid w:val="00542E61"/>
    <w:rsid w:val="0054630A"/>
    <w:rsid w:val="0054754E"/>
    <w:rsid w:val="005475ED"/>
    <w:rsid w:val="00547E80"/>
    <w:rsid w:val="005500D0"/>
    <w:rsid w:val="0055037B"/>
    <w:rsid w:val="00551423"/>
    <w:rsid w:val="00553BE3"/>
    <w:rsid w:val="00556DE8"/>
    <w:rsid w:val="00557052"/>
    <w:rsid w:val="00561533"/>
    <w:rsid w:val="00561F4F"/>
    <w:rsid w:val="00562438"/>
    <w:rsid w:val="00562A91"/>
    <w:rsid w:val="00564986"/>
    <w:rsid w:val="00565FD1"/>
    <w:rsid w:val="005662B1"/>
    <w:rsid w:val="005672C5"/>
    <w:rsid w:val="00570073"/>
    <w:rsid w:val="00573FBE"/>
    <w:rsid w:val="005745FE"/>
    <w:rsid w:val="00575B6C"/>
    <w:rsid w:val="00576E08"/>
    <w:rsid w:val="00577DC7"/>
    <w:rsid w:val="0058050B"/>
    <w:rsid w:val="00580938"/>
    <w:rsid w:val="005812E9"/>
    <w:rsid w:val="005818AD"/>
    <w:rsid w:val="0058266A"/>
    <w:rsid w:val="00582FAC"/>
    <w:rsid w:val="00584B27"/>
    <w:rsid w:val="00587F3C"/>
    <w:rsid w:val="00587F5D"/>
    <w:rsid w:val="00591CFA"/>
    <w:rsid w:val="00594B4C"/>
    <w:rsid w:val="00595107"/>
    <w:rsid w:val="00597661"/>
    <w:rsid w:val="005A0181"/>
    <w:rsid w:val="005A0ADD"/>
    <w:rsid w:val="005A29C9"/>
    <w:rsid w:val="005A378B"/>
    <w:rsid w:val="005A40A3"/>
    <w:rsid w:val="005A66B9"/>
    <w:rsid w:val="005A6F01"/>
    <w:rsid w:val="005B2401"/>
    <w:rsid w:val="005B50DE"/>
    <w:rsid w:val="005C3046"/>
    <w:rsid w:val="005C4FDD"/>
    <w:rsid w:val="005C776B"/>
    <w:rsid w:val="005C7F33"/>
    <w:rsid w:val="005D2274"/>
    <w:rsid w:val="005D338A"/>
    <w:rsid w:val="005D3CFC"/>
    <w:rsid w:val="005E1EA6"/>
    <w:rsid w:val="005E3252"/>
    <w:rsid w:val="005E3E20"/>
    <w:rsid w:val="005E4880"/>
    <w:rsid w:val="005E5137"/>
    <w:rsid w:val="005E6D3A"/>
    <w:rsid w:val="005E768C"/>
    <w:rsid w:val="005E7E9F"/>
    <w:rsid w:val="005F2F69"/>
    <w:rsid w:val="005F75A5"/>
    <w:rsid w:val="005F7F82"/>
    <w:rsid w:val="006005AF"/>
    <w:rsid w:val="00600C50"/>
    <w:rsid w:val="00600F1C"/>
    <w:rsid w:val="006023B4"/>
    <w:rsid w:val="006064A3"/>
    <w:rsid w:val="00607721"/>
    <w:rsid w:val="00607F95"/>
    <w:rsid w:val="006156AE"/>
    <w:rsid w:val="00615F12"/>
    <w:rsid w:val="006161E7"/>
    <w:rsid w:val="00617175"/>
    <w:rsid w:val="006201D2"/>
    <w:rsid w:val="0062148C"/>
    <w:rsid w:val="006215AF"/>
    <w:rsid w:val="00621D0A"/>
    <w:rsid w:val="00621E04"/>
    <w:rsid w:val="006220A9"/>
    <w:rsid w:val="0062267C"/>
    <w:rsid w:val="0062293D"/>
    <w:rsid w:val="00623E54"/>
    <w:rsid w:val="006273BC"/>
    <w:rsid w:val="0063258F"/>
    <w:rsid w:val="00634766"/>
    <w:rsid w:val="00640DC2"/>
    <w:rsid w:val="00642E7D"/>
    <w:rsid w:val="00645B49"/>
    <w:rsid w:val="00646B71"/>
    <w:rsid w:val="00654D11"/>
    <w:rsid w:val="006601ED"/>
    <w:rsid w:val="00660ADB"/>
    <w:rsid w:val="00661A62"/>
    <w:rsid w:val="00662989"/>
    <w:rsid w:val="006630F9"/>
    <w:rsid w:val="00664DFE"/>
    <w:rsid w:val="006655A5"/>
    <w:rsid w:val="00665C9D"/>
    <w:rsid w:val="00667DF3"/>
    <w:rsid w:val="00671791"/>
    <w:rsid w:val="006721CB"/>
    <w:rsid w:val="00672BBF"/>
    <w:rsid w:val="006734CA"/>
    <w:rsid w:val="00675392"/>
    <w:rsid w:val="0067606D"/>
    <w:rsid w:val="0067791B"/>
    <w:rsid w:val="006801D0"/>
    <w:rsid w:val="00681080"/>
    <w:rsid w:val="006818E5"/>
    <w:rsid w:val="006827C1"/>
    <w:rsid w:val="0068296E"/>
    <w:rsid w:val="006829C2"/>
    <w:rsid w:val="00682DFB"/>
    <w:rsid w:val="00683529"/>
    <w:rsid w:val="00683CD3"/>
    <w:rsid w:val="00687046"/>
    <w:rsid w:val="00690404"/>
    <w:rsid w:val="00690B49"/>
    <w:rsid w:val="006918CE"/>
    <w:rsid w:val="00691E53"/>
    <w:rsid w:val="00692EC3"/>
    <w:rsid w:val="00694F8A"/>
    <w:rsid w:val="00697C97"/>
    <w:rsid w:val="006A0433"/>
    <w:rsid w:val="006A06F7"/>
    <w:rsid w:val="006A1114"/>
    <w:rsid w:val="006A12BA"/>
    <w:rsid w:val="006A1A4A"/>
    <w:rsid w:val="006A288F"/>
    <w:rsid w:val="006A28C7"/>
    <w:rsid w:val="006A29E5"/>
    <w:rsid w:val="006A4910"/>
    <w:rsid w:val="006A549C"/>
    <w:rsid w:val="006B1059"/>
    <w:rsid w:val="006B1930"/>
    <w:rsid w:val="006B1ED0"/>
    <w:rsid w:val="006B29D9"/>
    <w:rsid w:val="006B3F11"/>
    <w:rsid w:val="006B424B"/>
    <w:rsid w:val="006B50CE"/>
    <w:rsid w:val="006B5C52"/>
    <w:rsid w:val="006C475E"/>
    <w:rsid w:val="006C4D52"/>
    <w:rsid w:val="006C4F78"/>
    <w:rsid w:val="006C53AD"/>
    <w:rsid w:val="006C76C3"/>
    <w:rsid w:val="006D0362"/>
    <w:rsid w:val="006D21DA"/>
    <w:rsid w:val="006D28AF"/>
    <w:rsid w:val="006D457C"/>
    <w:rsid w:val="006D5780"/>
    <w:rsid w:val="006D612E"/>
    <w:rsid w:val="006D6956"/>
    <w:rsid w:val="006D6E87"/>
    <w:rsid w:val="006D7982"/>
    <w:rsid w:val="006D7A5E"/>
    <w:rsid w:val="006D7E8A"/>
    <w:rsid w:val="006E00B7"/>
    <w:rsid w:val="006E0812"/>
    <w:rsid w:val="006E10D2"/>
    <w:rsid w:val="006E1111"/>
    <w:rsid w:val="006E2492"/>
    <w:rsid w:val="006E2D96"/>
    <w:rsid w:val="006E39D0"/>
    <w:rsid w:val="006E4C28"/>
    <w:rsid w:val="006E5792"/>
    <w:rsid w:val="006F0172"/>
    <w:rsid w:val="006F0343"/>
    <w:rsid w:val="006F0C74"/>
    <w:rsid w:val="006F4B1E"/>
    <w:rsid w:val="006F4BD0"/>
    <w:rsid w:val="006F66CC"/>
    <w:rsid w:val="006F7F82"/>
    <w:rsid w:val="00700642"/>
    <w:rsid w:val="00701AB8"/>
    <w:rsid w:val="00703E82"/>
    <w:rsid w:val="007052D1"/>
    <w:rsid w:val="0070552B"/>
    <w:rsid w:val="00705A2A"/>
    <w:rsid w:val="0070697E"/>
    <w:rsid w:val="007100CE"/>
    <w:rsid w:val="00712E01"/>
    <w:rsid w:val="00714468"/>
    <w:rsid w:val="00714A8E"/>
    <w:rsid w:val="00714EE6"/>
    <w:rsid w:val="007162A8"/>
    <w:rsid w:val="0071702D"/>
    <w:rsid w:val="00723312"/>
    <w:rsid w:val="0072474E"/>
    <w:rsid w:val="007256DF"/>
    <w:rsid w:val="00727C47"/>
    <w:rsid w:val="00727CBC"/>
    <w:rsid w:val="007316E1"/>
    <w:rsid w:val="00732362"/>
    <w:rsid w:val="0073298C"/>
    <w:rsid w:val="00732D85"/>
    <w:rsid w:val="00733919"/>
    <w:rsid w:val="00734618"/>
    <w:rsid w:val="0073466E"/>
    <w:rsid w:val="007403C1"/>
    <w:rsid w:val="00740CDB"/>
    <w:rsid w:val="007452F6"/>
    <w:rsid w:val="00746548"/>
    <w:rsid w:val="00747E42"/>
    <w:rsid w:val="00750AF5"/>
    <w:rsid w:val="007511D5"/>
    <w:rsid w:val="007521FA"/>
    <w:rsid w:val="00753B2C"/>
    <w:rsid w:val="00754098"/>
    <w:rsid w:val="0076188A"/>
    <w:rsid w:val="00771392"/>
    <w:rsid w:val="00771507"/>
    <w:rsid w:val="00771ABC"/>
    <w:rsid w:val="00771F76"/>
    <w:rsid w:val="00772996"/>
    <w:rsid w:val="0077411F"/>
    <w:rsid w:val="0077650D"/>
    <w:rsid w:val="007821B2"/>
    <w:rsid w:val="0078302E"/>
    <w:rsid w:val="00785BB9"/>
    <w:rsid w:val="007862A6"/>
    <w:rsid w:val="0078656F"/>
    <w:rsid w:val="00793A9B"/>
    <w:rsid w:val="0079426C"/>
    <w:rsid w:val="00797F99"/>
    <w:rsid w:val="007A14F5"/>
    <w:rsid w:val="007A210F"/>
    <w:rsid w:val="007A58F9"/>
    <w:rsid w:val="007A6C62"/>
    <w:rsid w:val="007A7FC0"/>
    <w:rsid w:val="007B1D80"/>
    <w:rsid w:val="007B3862"/>
    <w:rsid w:val="007B60A1"/>
    <w:rsid w:val="007B6AB1"/>
    <w:rsid w:val="007B6CEE"/>
    <w:rsid w:val="007B7984"/>
    <w:rsid w:val="007C0F4B"/>
    <w:rsid w:val="007C56B5"/>
    <w:rsid w:val="007C5D54"/>
    <w:rsid w:val="007C613C"/>
    <w:rsid w:val="007C65F3"/>
    <w:rsid w:val="007C7398"/>
    <w:rsid w:val="007C7DC1"/>
    <w:rsid w:val="007D0418"/>
    <w:rsid w:val="007D21F7"/>
    <w:rsid w:val="007D23CA"/>
    <w:rsid w:val="007D2F89"/>
    <w:rsid w:val="007D40A1"/>
    <w:rsid w:val="007D5F6C"/>
    <w:rsid w:val="007D7886"/>
    <w:rsid w:val="007E1891"/>
    <w:rsid w:val="007E1A09"/>
    <w:rsid w:val="007E7CB0"/>
    <w:rsid w:val="007F012B"/>
    <w:rsid w:val="007F1BB0"/>
    <w:rsid w:val="007F1C62"/>
    <w:rsid w:val="007F2C69"/>
    <w:rsid w:val="007F5732"/>
    <w:rsid w:val="007F5E12"/>
    <w:rsid w:val="007F5EE4"/>
    <w:rsid w:val="007F6FE9"/>
    <w:rsid w:val="007F785A"/>
    <w:rsid w:val="00800EEB"/>
    <w:rsid w:val="00801042"/>
    <w:rsid w:val="00801F7D"/>
    <w:rsid w:val="008020EE"/>
    <w:rsid w:val="008071D4"/>
    <w:rsid w:val="00807380"/>
    <w:rsid w:val="00807931"/>
    <w:rsid w:val="0081305B"/>
    <w:rsid w:val="0081478E"/>
    <w:rsid w:val="008147BE"/>
    <w:rsid w:val="008170D8"/>
    <w:rsid w:val="0081745C"/>
    <w:rsid w:val="00817F63"/>
    <w:rsid w:val="00820879"/>
    <w:rsid w:val="00820F47"/>
    <w:rsid w:val="00821AB0"/>
    <w:rsid w:val="00821F1C"/>
    <w:rsid w:val="00822A05"/>
    <w:rsid w:val="00822C84"/>
    <w:rsid w:val="0082320B"/>
    <w:rsid w:val="00825338"/>
    <w:rsid w:val="008253AF"/>
    <w:rsid w:val="0082652D"/>
    <w:rsid w:val="00826CF7"/>
    <w:rsid w:val="0082767F"/>
    <w:rsid w:val="00830FEB"/>
    <w:rsid w:val="00832E81"/>
    <w:rsid w:val="008340AF"/>
    <w:rsid w:val="0083563C"/>
    <w:rsid w:val="0083653C"/>
    <w:rsid w:val="008366B4"/>
    <w:rsid w:val="0084096E"/>
    <w:rsid w:val="00840B26"/>
    <w:rsid w:val="00841A47"/>
    <w:rsid w:val="00846F6D"/>
    <w:rsid w:val="008471FA"/>
    <w:rsid w:val="008476A2"/>
    <w:rsid w:val="0085015A"/>
    <w:rsid w:val="0085041C"/>
    <w:rsid w:val="0085109E"/>
    <w:rsid w:val="008515EC"/>
    <w:rsid w:val="008524C2"/>
    <w:rsid w:val="00852733"/>
    <w:rsid w:val="00855FE6"/>
    <w:rsid w:val="008645D6"/>
    <w:rsid w:val="0086481E"/>
    <w:rsid w:val="00864C14"/>
    <w:rsid w:val="00865869"/>
    <w:rsid w:val="0086726F"/>
    <w:rsid w:val="0087044E"/>
    <w:rsid w:val="0087090D"/>
    <w:rsid w:val="0087271C"/>
    <w:rsid w:val="00873A0F"/>
    <w:rsid w:val="008756B6"/>
    <w:rsid w:val="0087600A"/>
    <w:rsid w:val="00876740"/>
    <w:rsid w:val="00880830"/>
    <w:rsid w:val="0088403C"/>
    <w:rsid w:val="00885578"/>
    <w:rsid w:val="00885900"/>
    <w:rsid w:val="00886F3C"/>
    <w:rsid w:val="00887BAE"/>
    <w:rsid w:val="00887EC9"/>
    <w:rsid w:val="00890702"/>
    <w:rsid w:val="00896209"/>
    <w:rsid w:val="0089685C"/>
    <w:rsid w:val="008A0560"/>
    <w:rsid w:val="008A08EC"/>
    <w:rsid w:val="008A150B"/>
    <w:rsid w:val="008B0287"/>
    <w:rsid w:val="008B1612"/>
    <w:rsid w:val="008B31E5"/>
    <w:rsid w:val="008B532D"/>
    <w:rsid w:val="008B6EE7"/>
    <w:rsid w:val="008B7021"/>
    <w:rsid w:val="008B75BE"/>
    <w:rsid w:val="008C0265"/>
    <w:rsid w:val="008C02FC"/>
    <w:rsid w:val="008C38B2"/>
    <w:rsid w:val="008C6AE1"/>
    <w:rsid w:val="008C6F23"/>
    <w:rsid w:val="008C74DA"/>
    <w:rsid w:val="008D22CB"/>
    <w:rsid w:val="008D3495"/>
    <w:rsid w:val="008D396D"/>
    <w:rsid w:val="008D516C"/>
    <w:rsid w:val="008D544B"/>
    <w:rsid w:val="008D5B23"/>
    <w:rsid w:val="008D7E6E"/>
    <w:rsid w:val="008E1809"/>
    <w:rsid w:val="008E2D88"/>
    <w:rsid w:val="008E3FCF"/>
    <w:rsid w:val="008E406F"/>
    <w:rsid w:val="008E436A"/>
    <w:rsid w:val="008E4D32"/>
    <w:rsid w:val="008E640F"/>
    <w:rsid w:val="008E7783"/>
    <w:rsid w:val="008E77FB"/>
    <w:rsid w:val="008E7E0C"/>
    <w:rsid w:val="008F3CF4"/>
    <w:rsid w:val="008F70FF"/>
    <w:rsid w:val="008F7545"/>
    <w:rsid w:val="008F7E46"/>
    <w:rsid w:val="00900084"/>
    <w:rsid w:val="009001AE"/>
    <w:rsid w:val="00902BD4"/>
    <w:rsid w:val="00903642"/>
    <w:rsid w:val="0090543C"/>
    <w:rsid w:val="009064E1"/>
    <w:rsid w:val="0090711D"/>
    <w:rsid w:val="00911867"/>
    <w:rsid w:val="009119E1"/>
    <w:rsid w:val="00913722"/>
    <w:rsid w:val="00916350"/>
    <w:rsid w:val="00917FE9"/>
    <w:rsid w:val="00920503"/>
    <w:rsid w:val="00920859"/>
    <w:rsid w:val="0092312E"/>
    <w:rsid w:val="00925D57"/>
    <w:rsid w:val="00925DAB"/>
    <w:rsid w:val="009302A2"/>
    <w:rsid w:val="00931F6E"/>
    <w:rsid w:val="009327B4"/>
    <w:rsid w:val="0093419B"/>
    <w:rsid w:val="009362A7"/>
    <w:rsid w:val="009375B2"/>
    <w:rsid w:val="0093793F"/>
    <w:rsid w:val="00937EFA"/>
    <w:rsid w:val="009422F0"/>
    <w:rsid w:val="00942300"/>
    <w:rsid w:val="009447CE"/>
    <w:rsid w:val="00944EF9"/>
    <w:rsid w:val="0094565D"/>
    <w:rsid w:val="009459BD"/>
    <w:rsid w:val="00951CA7"/>
    <w:rsid w:val="00951ED3"/>
    <w:rsid w:val="00951F8D"/>
    <w:rsid w:val="00955407"/>
    <w:rsid w:val="0096090D"/>
    <w:rsid w:val="00960B4E"/>
    <w:rsid w:val="00961396"/>
    <w:rsid w:val="00961C79"/>
    <w:rsid w:val="00962810"/>
    <w:rsid w:val="00964F5F"/>
    <w:rsid w:val="00975CB8"/>
    <w:rsid w:val="00977C6E"/>
    <w:rsid w:val="0098042D"/>
    <w:rsid w:val="00980620"/>
    <w:rsid w:val="00982A9A"/>
    <w:rsid w:val="00982E48"/>
    <w:rsid w:val="00983225"/>
    <w:rsid w:val="00987BED"/>
    <w:rsid w:val="00991130"/>
    <w:rsid w:val="00991F54"/>
    <w:rsid w:val="00995E2F"/>
    <w:rsid w:val="009A029B"/>
    <w:rsid w:val="009A25F5"/>
    <w:rsid w:val="009A6B8C"/>
    <w:rsid w:val="009A7AD2"/>
    <w:rsid w:val="009B0EFC"/>
    <w:rsid w:val="009B0F3B"/>
    <w:rsid w:val="009B1C53"/>
    <w:rsid w:val="009B1D0E"/>
    <w:rsid w:val="009B21FD"/>
    <w:rsid w:val="009B23C7"/>
    <w:rsid w:val="009B2426"/>
    <w:rsid w:val="009B2AF6"/>
    <w:rsid w:val="009B3FC0"/>
    <w:rsid w:val="009B4507"/>
    <w:rsid w:val="009B6A28"/>
    <w:rsid w:val="009B7FD5"/>
    <w:rsid w:val="009C0D3A"/>
    <w:rsid w:val="009C21BB"/>
    <w:rsid w:val="009C257D"/>
    <w:rsid w:val="009C3449"/>
    <w:rsid w:val="009C3769"/>
    <w:rsid w:val="009C5B3F"/>
    <w:rsid w:val="009C701B"/>
    <w:rsid w:val="009D0A94"/>
    <w:rsid w:val="009D105D"/>
    <w:rsid w:val="009D15A7"/>
    <w:rsid w:val="009D6022"/>
    <w:rsid w:val="009D730C"/>
    <w:rsid w:val="009D7757"/>
    <w:rsid w:val="009E042F"/>
    <w:rsid w:val="009E3452"/>
    <w:rsid w:val="009E365C"/>
    <w:rsid w:val="009E59BC"/>
    <w:rsid w:val="009F2B44"/>
    <w:rsid w:val="009F2F9E"/>
    <w:rsid w:val="009F47BC"/>
    <w:rsid w:val="009F4EBD"/>
    <w:rsid w:val="009F71E2"/>
    <w:rsid w:val="00A01848"/>
    <w:rsid w:val="00A01FD4"/>
    <w:rsid w:val="00A031CB"/>
    <w:rsid w:val="00A044EE"/>
    <w:rsid w:val="00A05094"/>
    <w:rsid w:val="00A07A81"/>
    <w:rsid w:val="00A07F06"/>
    <w:rsid w:val="00A1138E"/>
    <w:rsid w:val="00A11556"/>
    <w:rsid w:val="00A11E45"/>
    <w:rsid w:val="00A1352E"/>
    <w:rsid w:val="00A1379D"/>
    <w:rsid w:val="00A14E67"/>
    <w:rsid w:val="00A21E78"/>
    <w:rsid w:val="00A22789"/>
    <w:rsid w:val="00A23F1D"/>
    <w:rsid w:val="00A2469A"/>
    <w:rsid w:val="00A25035"/>
    <w:rsid w:val="00A25B5C"/>
    <w:rsid w:val="00A2704B"/>
    <w:rsid w:val="00A30CEB"/>
    <w:rsid w:val="00A3174F"/>
    <w:rsid w:val="00A31E34"/>
    <w:rsid w:val="00A322C7"/>
    <w:rsid w:val="00A32F1E"/>
    <w:rsid w:val="00A34A84"/>
    <w:rsid w:val="00A34AA0"/>
    <w:rsid w:val="00A34AD5"/>
    <w:rsid w:val="00A35086"/>
    <w:rsid w:val="00A36917"/>
    <w:rsid w:val="00A370AB"/>
    <w:rsid w:val="00A376C7"/>
    <w:rsid w:val="00A40799"/>
    <w:rsid w:val="00A40AF7"/>
    <w:rsid w:val="00A43D45"/>
    <w:rsid w:val="00A44DBD"/>
    <w:rsid w:val="00A45BAB"/>
    <w:rsid w:val="00A465AC"/>
    <w:rsid w:val="00A46EC1"/>
    <w:rsid w:val="00A47C83"/>
    <w:rsid w:val="00A51CB6"/>
    <w:rsid w:val="00A5283F"/>
    <w:rsid w:val="00A53BB9"/>
    <w:rsid w:val="00A5457F"/>
    <w:rsid w:val="00A579BE"/>
    <w:rsid w:val="00A62ADD"/>
    <w:rsid w:val="00A62EAE"/>
    <w:rsid w:val="00A630F1"/>
    <w:rsid w:val="00A642BF"/>
    <w:rsid w:val="00A644F5"/>
    <w:rsid w:val="00A64698"/>
    <w:rsid w:val="00A64860"/>
    <w:rsid w:val="00A64A8E"/>
    <w:rsid w:val="00A64D4B"/>
    <w:rsid w:val="00A71111"/>
    <w:rsid w:val="00A712D1"/>
    <w:rsid w:val="00A7189B"/>
    <w:rsid w:val="00A729F2"/>
    <w:rsid w:val="00A74B95"/>
    <w:rsid w:val="00A75785"/>
    <w:rsid w:val="00A757EA"/>
    <w:rsid w:val="00A8189C"/>
    <w:rsid w:val="00A81D21"/>
    <w:rsid w:val="00A8262B"/>
    <w:rsid w:val="00A851CE"/>
    <w:rsid w:val="00A87DC5"/>
    <w:rsid w:val="00A87DD8"/>
    <w:rsid w:val="00A91A73"/>
    <w:rsid w:val="00A91DFF"/>
    <w:rsid w:val="00A92D0C"/>
    <w:rsid w:val="00A94461"/>
    <w:rsid w:val="00AA2BC0"/>
    <w:rsid w:val="00AA3976"/>
    <w:rsid w:val="00AA3B4B"/>
    <w:rsid w:val="00AA4BF7"/>
    <w:rsid w:val="00AA5154"/>
    <w:rsid w:val="00AA579F"/>
    <w:rsid w:val="00AA6ED3"/>
    <w:rsid w:val="00AA7DED"/>
    <w:rsid w:val="00AB0566"/>
    <w:rsid w:val="00AB1848"/>
    <w:rsid w:val="00AB198B"/>
    <w:rsid w:val="00AB2510"/>
    <w:rsid w:val="00AB39C9"/>
    <w:rsid w:val="00AB448B"/>
    <w:rsid w:val="00AB4713"/>
    <w:rsid w:val="00AB5105"/>
    <w:rsid w:val="00AB5C9D"/>
    <w:rsid w:val="00AB759E"/>
    <w:rsid w:val="00AB7668"/>
    <w:rsid w:val="00AC10B2"/>
    <w:rsid w:val="00AC480E"/>
    <w:rsid w:val="00AC5252"/>
    <w:rsid w:val="00AC62AB"/>
    <w:rsid w:val="00AD2319"/>
    <w:rsid w:val="00AD2461"/>
    <w:rsid w:val="00AD49BC"/>
    <w:rsid w:val="00AD6A5E"/>
    <w:rsid w:val="00AE03AD"/>
    <w:rsid w:val="00AE0C3B"/>
    <w:rsid w:val="00AE1B48"/>
    <w:rsid w:val="00AE37E3"/>
    <w:rsid w:val="00AE44CB"/>
    <w:rsid w:val="00AE4A5B"/>
    <w:rsid w:val="00AE6EED"/>
    <w:rsid w:val="00AE7EDB"/>
    <w:rsid w:val="00AF08D5"/>
    <w:rsid w:val="00AF1CE0"/>
    <w:rsid w:val="00AF1DA6"/>
    <w:rsid w:val="00AF26EF"/>
    <w:rsid w:val="00AF26F1"/>
    <w:rsid w:val="00AF5F9D"/>
    <w:rsid w:val="00B05A9E"/>
    <w:rsid w:val="00B11B84"/>
    <w:rsid w:val="00B160E6"/>
    <w:rsid w:val="00B17DBC"/>
    <w:rsid w:val="00B20C30"/>
    <w:rsid w:val="00B20C44"/>
    <w:rsid w:val="00B2190A"/>
    <w:rsid w:val="00B23743"/>
    <w:rsid w:val="00B24DD9"/>
    <w:rsid w:val="00B250D0"/>
    <w:rsid w:val="00B25292"/>
    <w:rsid w:val="00B35395"/>
    <w:rsid w:val="00B37243"/>
    <w:rsid w:val="00B41341"/>
    <w:rsid w:val="00B4175B"/>
    <w:rsid w:val="00B433D9"/>
    <w:rsid w:val="00B43D7A"/>
    <w:rsid w:val="00B455D1"/>
    <w:rsid w:val="00B45789"/>
    <w:rsid w:val="00B47523"/>
    <w:rsid w:val="00B50AC9"/>
    <w:rsid w:val="00B5784F"/>
    <w:rsid w:val="00B60B18"/>
    <w:rsid w:val="00B60C50"/>
    <w:rsid w:val="00B6106E"/>
    <w:rsid w:val="00B61B72"/>
    <w:rsid w:val="00B6288C"/>
    <w:rsid w:val="00B63D2E"/>
    <w:rsid w:val="00B64441"/>
    <w:rsid w:val="00B64590"/>
    <w:rsid w:val="00B64B47"/>
    <w:rsid w:val="00B70C00"/>
    <w:rsid w:val="00B71091"/>
    <w:rsid w:val="00B7113C"/>
    <w:rsid w:val="00B7463A"/>
    <w:rsid w:val="00B74887"/>
    <w:rsid w:val="00B76232"/>
    <w:rsid w:val="00B77336"/>
    <w:rsid w:val="00B77F03"/>
    <w:rsid w:val="00B8181D"/>
    <w:rsid w:val="00B87583"/>
    <w:rsid w:val="00B910EB"/>
    <w:rsid w:val="00B91822"/>
    <w:rsid w:val="00B9442C"/>
    <w:rsid w:val="00B948EA"/>
    <w:rsid w:val="00B9505C"/>
    <w:rsid w:val="00BA10B0"/>
    <w:rsid w:val="00BA177F"/>
    <w:rsid w:val="00BA25A2"/>
    <w:rsid w:val="00BA38B8"/>
    <w:rsid w:val="00BB0409"/>
    <w:rsid w:val="00BB396F"/>
    <w:rsid w:val="00BB6477"/>
    <w:rsid w:val="00BB6D7A"/>
    <w:rsid w:val="00BC2DE2"/>
    <w:rsid w:val="00BC65F2"/>
    <w:rsid w:val="00BC7F89"/>
    <w:rsid w:val="00BD013C"/>
    <w:rsid w:val="00BD0925"/>
    <w:rsid w:val="00BD1754"/>
    <w:rsid w:val="00BD3D7A"/>
    <w:rsid w:val="00BD3F30"/>
    <w:rsid w:val="00BD4007"/>
    <w:rsid w:val="00BD4355"/>
    <w:rsid w:val="00BD4ACE"/>
    <w:rsid w:val="00BD5062"/>
    <w:rsid w:val="00BD53C8"/>
    <w:rsid w:val="00BD6609"/>
    <w:rsid w:val="00BD6B0A"/>
    <w:rsid w:val="00BD6C29"/>
    <w:rsid w:val="00BD781C"/>
    <w:rsid w:val="00BD7CE1"/>
    <w:rsid w:val="00BE7AC7"/>
    <w:rsid w:val="00BE7F34"/>
    <w:rsid w:val="00BF052C"/>
    <w:rsid w:val="00BF13FD"/>
    <w:rsid w:val="00BF1F07"/>
    <w:rsid w:val="00BF287B"/>
    <w:rsid w:val="00BF2B33"/>
    <w:rsid w:val="00BF39AE"/>
    <w:rsid w:val="00BF3C70"/>
    <w:rsid w:val="00BF4902"/>
    <w:rsid w:val="00BF49FC"/>
    <w:rsid w:val="00BF641F"/>
    <w:rsid w:val="00BF72D7"/>
    <w:rsid w:val="00BF7619"/>
    <w:rsid w:val="00C01014"/>
    <w:rsid w:val="00C01E1D"/>
    <w:rsid w:val="00C01F1C"/>
    <w:rsid w:val="00C02388"/>
    <w:rsid w:val="00C03609"/>
    <w:rsid w:val="00C036ED"/>
    <w:rsid w:val="00C04B0B"/>
    <w:rsid w:val="00C04CE5"/>
    <w:rsid w:val="00C07475"/>
    <w:rsid w:val="00C13C13"/>
    <w:rsid w:val="00C142A9"/>
    <w:rsid w:val="00C15C32"/>
    <w:rsid w:val="00C15F68"/>
    <w:rsid w:val="00C1657B"/>
    <w:rsid w:val="00C17713"/>
    <w:rsid w:val="00C20D14"/>
    <w:rsid w:val="00C217CE"/>
    <w:rsid w:val="00C24F1B"/>
    <w:rsid w:val="00C24FDA"/>
    <w:rsid w:val="00C27C39"/>
    <w:rsid w:val="00C27E3B"/>
    <w:rsid w:val="00C33D02"/>
    <w:rsid w:val="00C35936"/>
    <w:rsid w:val="00C36726"/>
    <w:rsid w:val="00C426A2"/>
    <w:rsid w:val="00C4277D"/>
    <w:rsid w:val="00C45882"/>
    <w:rsid w:val="00C47A6A"/>
    <w:rsid w:val="00C513F0"/>
    <w:rsid w:val="00C51BCC"/>
    <w:rsid w:val="00C533A9"/>
    <w:rsid w:val="00C549F1"/>
    <w:rsid w:val="00C552C8"/>
    <w:rsid w:val="00C559C6"/>
    <w:rsid w:val="00C575EE"/>
    <w:rsid w:val="00C61F80"/>
    <w:rsid w:val="00C639D7"/>
    <w:rsid w:val="00C64F0B"/>
    <w:rsid w:val="00C666E2"/>
    <w:rsid w:val="00C753B0"/>
    <w:rsid w:val="00C77CE6"/>
    <w:rsid w:val="00C77DEB"/>
    <w:rsid w:val="00C80B46"/>
    <w:rsid w:val="00C81A5F"/>
    <w:rsid w:val="00C824EE"/>
    <w:rsid w:val="00C828D2"/>
    <w:rsid w:val="00C84E6B"/>
    <w:rsid w:val="00C90C47"/>
    <w:rsid w:val="00C93431"/>
    <w:rsid w:val="00C95C4B"/>
    <w:rsid w:val="00C96C61"/>
    <w:rsid w:val="00C973A3"/>
    <w:rsid w:val="00C976B3"/>
    <w:rsid w:val="00C976BF"/>
    <w:rsid w:val="00CA2E62"/>
    <w:rsid w:val="00CA3230"/>
    <w:rsid w:val="00CA60DD"/>
    <w:rsid w:val="00CA6A15"/>
    <w:rsid w:val="00CA7AD3"/>
    <w:rsid w:val="00CB0ABD"/>
    <w:rsid w:val="00CB2870"/>
    <w:rsid w:val="00CB2882"/>
    <w:rsid w:val="00CB37D7"/>
    <w:rsid w:val="00CB3A01"/>
    <w:rsid w:val="00CB4407"/>
    <w:rsid w:val="00CB4A7E"/>
    <w:rsid w:val="00CB53DE"/>
    <w:rsid w:val="00CC23CA"/>
    <w:rsid w:val="00CC23DF"/>
    <w:rsid w:val="00CC368B"/>
    <w:rsid w:val="00CC381A"/>
    <w:rsid w:val="00CC5EAA"/>
    <w:rsid w:val="00CC6A00"/>
    <w:rsid w:val="00CC7114"/>
    <w:rsid w:val="00CD07CA"/>
    <w:rsid w:val="00CD1185"/>
    <w:rsid w:val="00CD1432"/>
    <w:rsid w:val="00CD16A7"/>
    <w:rsid w:val="00CD260F"/>
    <w:rsid w:val="00CD280D"/>
    <w:rsid w:val="00CD3756"/>
    <w:rsid w:val="00CD4BDD"/>
    <w:rsid w:val="00CD64F2"/>
    <w:rsid w:val="00CD7F17"/>
    <w:rsid w:val="00CE3071"/>
    <w:rsid w:val="00CE772B"/>
    <w:rsid w:val="00CE7EE7"/>
    <w:rsid w:val="00CF1683"/>
    <w:rsid w:val="00CF18EF"/>
    <w:rsid w:val="00CF484D"/>
    <w:rsid w:val="00CF757A"/>
    <w:rsid w:val="00D02183"/>
    <w:rsid w:val="00D02C5A"/>
    <w:rsid w:val="00D02CB1"/>
    <w:rsid w:val="00D033EE"/>
    <w:rsid w:val="00D05464"/>
    <w:rsid w:val="00D067E7"/>
    <w:rsid w:val="00D070EF"/>
    <w:rsid w:val="00D10685"/>
    <w:rsid w:val="00D10793"/>
    <w:rsid w:val="00D11AF5"/>
    <w:rsid w:val="00D122D2"/>
    <w:rsid w:val="00D136E2"/>
    <w:rsid w:val="00D15C63"/>
    <w:rsid w:val="00D16590"/>
    <w:rsid w:val="00D16715"/>
    <w:rsid w:val="00D167EE"/>
    <w:rsid w:val="00D210D5"/>
    <w:rsid w:val="00D21BE9"/>
    <w:rsid w:val="00D2271A"/>
    <w:rsid w:val="00D228BC"/>
    <w:rsid w:val="00D22FCC"/>
    <w:rsid w:val="00D267A2"/>
    <w:rsid w:val="00D31F6D"/>
    <w:rsid w:val="00D336F4"/>
    <w:rsid w:val="00D3371D"/>
    <w:rsid w:val="00D3450A"/>
    <w:rsid w:val="00D3516C"/>
    <w:rsid w:val="00D35FEC"/>
    <w:rsid w:val="00D37D27"/>
    <w:rsid w:val="00D40AFC"/>
    <w:rsid w:val="00D41EAB"/>
    <w:rsid w:val="00D427AD"/>
    <w:rsid w:val="00D43F69"/>
    <w:rsid w:val="00D473EC"/>
    <w:rsid w:val="00D47D91"/>
    <w:rsid w:val="00D532EF"/>
    <w:rsid w:val="00D54169"/>
    <w:rsid w:val="00D54D20"/>
    <w:rsid w:val="00D6012D"/>
    <w:rsid w:val="00D61CBF"/>
    <w:rsid w:val="00D63C56"/>
    <w:rsid w:val="00D66489"/>
    <w:rsid w:val="00D66FF2"/>
    <w:rsid w:val="00D701A7"/>
    <w:rsid w:val="00D70BE6"/>
    <w:rsid w:val="00D70CBF"/>
    <w:rsid w:val="00D71297"/>
    <w:rsid w:val="00D75DE6"/>
    <w:rsid w:val="00D76276"/>
    <w:rsid w:val="00D766E7"/>
    <w:rsid w:val="00D7692B"/>
    <w:rsid w:val="00D776E7"/>
    <w:rsid w:val="00D77ABF"/>
    <w:rsid w:val="00D80165"/>
    <w:rsid w:val="00D81026"/>
    <w:rsid w:val="00D81146"/>
    <w:rsid w:val="00D8114D"/>
    <w:rsid w:val="00D826FD"/>
    <w:rsid w:val="00D84716"/>
    <w:rsid w:val="00D87964"/>
    <w:rsid w:val="00D9274A"/>
    <w:rsid w:val="00D93EAD"/>
    <w:rsid w:val="00D96191"/>
    <w:rsid w:val="00DA1434"/>
    <w:rsid w:val="00DA1D02"/>
    <w:rsid w:val="00DA3490"/>
    <w:rsid w:val="00DA426B"/>
    <w:rsid w:val="00DA4654"/>
    <w:rsid w:val="00DA531F"/>
    <w:rsid w:val="00DA6BCF"/>
    <w:rsid w:val="00DB11CE"/>
    <w:rsid w:val="00DB2987"/>
    <w:rsid w:val="00DB2B6F"/>
    <w:rsid w:val="00DB4059"/>
    <w:rsid w:val="00DB6525"/>
    <w:rsid w:val="00DB73F2"/>
    <w:rsid w:val="00DB7471"/>
    <w:rsid w:val="00DC2005"/>
    <w:rsid w:val="00DC2358"/>
    <w:rsid w:val="00DC63AF"/>
    <w:rsid w:val="00DD07B3"/>
    <w:rsid w:val="00DD093B"/>
    <w:rsid w:val="00DD22FA"/>
    <w:rsid w:val="00DD234E"/>
    <w:rsid w:val="00DD3AAA"/>
    <w:rsid w:val="00DD3D90"/>
    <w:rsid w:val="00DE1063"/>
    <w:rsid w:val="00DE1711"/>
    <w:rsid w:val="00DE3BA1"/>
    <w:rsid w:val="00DE547A"/>
    <w:rsid w:val="00DE5590"/>
    <w:rsid w:val="00DE6226"/>
    <w:rsid w:val="00DF1737"/>
    <w:rsid w:val="00DF2FC9"/>
    <w:rsid w:val="00DF38C0"/>
    <w:rsid w:val="00DF4D17"/>
    <w:rsid w:val="00DF59D6"/>
    <w:rsid w:val="00DF645E"/>
    <w:rsid w:val="00DF6E00"/>
    <w:rsid w:val="00E014F1"/>
    <w:rsid w:val="00E02FF9"/>
    <w:rsid w:val="00E04F66"/>
    <w:rsid w:val="00E059F9"/>
    <w:rsid w:val="00E069A5"/>
    <w:rsid w:val="00E07515"/>
    <w:rsid w:val="00E0785F"/>
    <w:rsid w:val="00E11153"/>
    <w:rsid w:val="00E119B3"/>
    <w:rsid w:val="00E119CB"/>
    <w:rsid w:val="00E11D69"/>
    <w:rsid w:val="00E12907"/>
    <w:rsid w:val="00E12D95"/>
    <w:rsid w:val="00E1390C"/>
    <w:rsid w:val="00E142AC"/>
    <w:rsid w:val="00E15844"/>
    <w:rsid w:val="00E168A6"/>
    <w:rsid w:val="00E20945"/>
    <w:rsid w:val="00E21851"/>
    <w:rsid w:val="00E21C5A"/>
    <w:rsid w:val="00E247BD"/>
    <w:rsid w:val="00E252D4"/>
    <w:rsid w:val="00E25C84"/>
    <w:rsid w:val="00E27F56"/>
    <w:rsid w:val="00E33186"/>
    <w:rsid w:val="00E35758"/>
    <w:rsid w:val="00E35FA3"/>
    <w:rsid w:val="00E36415"/>
    <w:rsid w:val="00E37D48"/>
    <w:rsid w:val="00E37DCE"/>
    <w:rsid w:val="00E42ECF"/>
    <w:rsid w:val="00E435C5"/>
    <w:rsid w:val="00E43E66"/>
    <w:rsid w:val="00E43F53"/>
    <w:rsid w:val="00E46A02"/>
    <w:rsid w:val="00E47F97"/>
    <w:rsid w:val="00E50A42"/>
    <w:rsid w:val="00E52A5C"/>
    <w:rsid w:val="00E542E9"/>
    <w:rsid w:val="00E56A22"/>
    <w:rsid w:val="00E56EF9"/>
    <w:rsid w:val="00E6118C"/>
    <w:rsid w:val="00E62976"/>
    <w:rsid w:val="00E63804"/>
    <w:rsid w:val="00E64009"/>
    <w:rsid w:val="00E662D7"/>
    <w:rsid w:val="00E66476"/>
    <w:rsid w:val="00E7011B"/>
    <w:rsid w:val="00E70FA1"/>
    <w:rsid w:val="00E72728"/>
    <w:rsid w:val="00E750F9"/>
    <w:rsid w:val="00E75A8B"/>
    <w:rsid w:val="00E77AAA"/>
    <w:rsid w:val="00E82260"/>
    <w:rsid w:val="00E829B8"/>
    <w:rsid w:val="00E82ED2"/>
    <w:rsid w:val="00E84795"/>
    <w:rsid w:val="00E84DED"/>
    <w:rsid w:val="00E84F5A"/>
    <w:rsid w:val="00E8515B"/>
    <w:rsid w:val="00E859BD"/>
    <w:rsid w:val="00E87969"/>
    <w:rsid w:val="00E9024D"/>
    <w:rsid w:val="00E90729"/>
    <w:rsid w:val="00E91D6E"/>
    <w:rsid w:val="00E94B73"/>
    <w:rsid w:val="00E9531B"/>
    <w:rsid w:val="00E96179"/>
    <w:rsid w:val="00E973DE"/>
    <w:rsid w:val="00E97ABC"/>
    <w:rsid w:val="00EA20E0"/>
    <w:rsid w:val="00EA268B"/>
    <w:rsid w:val="00EA4446"/>
    <w:rsid w:val="00EA600B"/>
    <w:rsid w:val="00EA6036"/>
    <w:rsid w:val="00EA7461"/>
    <w:rsid w:val="00EB04F1"/>
    <w:rsid w:val="00EB1E0D"/>
    <w:rsid w:val="00EB279A"/>
    <w:rsid w:val="00EB2875"/>
    <w:rsid w:val="00EB35CC"/>
    <w:rsid w:val="00EB4D01"/>
    <w:rsid w:val="00EB6E52"/>
    <w:rsid w:val="00EB7452"/>
    <w:rsid w:val="00EC4C91"/>
    <w:rsid w:val="00EC678F"/>
    <w:rsid w:val="00ED1913"/>
    <w:rsid w:val="00ED64CA"/>
    <w:rsid w:val="00ED7834"/>
    <w:rsid w:val="00EE0485"/>
    <w:rsid w:val="00EE2AD7"/>
    <w:rsid w:val="00EE3382"/>
    <w:rsid w:val="00EE34E7"/>
    <w:rsid w:val="00EE3677"/>
    <w:rsid w:val="00EE4227"/>
    <w:rsid w:val="00EE428A"/>
    <w:rsid w:val="00EE5422"/>
    <w:rsid w:val="00EE6CF0"/>
    <w:rsid w:val="00EF1CCD"/>
    <w:rsid w:val="00EF21BE"/>
    <w:rsid w:val="00EF2284"/>
    <w:rsid w:val="00EF3EFE"/>
    <w:rsid w:val="00EF672C"/>
    <w:rsid w:val="00EF68C9"/>
    <w:rsid w:val="00F0126C"/>
    <w:rsid w:val="00F01398"/>
    <w:rsid w:val="00F01CE4"/>
    <w:rsid w:val="00F045C7"/>
    <w:rsid w:val="00F067DA"/>
    <w:rsid w:val="00F10B3D"/>
    <w:rsid w:val="00F11461"/>
    <w:rsid w:val="00F133B6"/>
    <w:rsid w:val="00F14C0E"/>
    <w:rsid w:val="00F15155"/>
    <w:rsid w:val="00F20521"/>
    <w:rsid w:val="00F2057A"/>
    <w:rsid w:val="00F211E0"/>
    <w:rsid w:val="00F23B6D"/>
    <w:rsid w:val="00F25DF5"/>
    <w:rsid w:val="00F26F49"/>
    <w:rsid w:val="00F2711F"/>
    <w:rsid w:val="00F27810"/>
    <w:rsid w:val="00F27C25"/>
    <w:rsid w:val="00F303C6"/>
    <w:rsid w:val="00F3558E"/>
    <w:rsid w:val="00F36E80"/>
    <w:rsid w:val="00F374D2"/>
    <w:rsid w:val="00F37DBA"/>
    <w:rsid w:val="00F40975"/>
    <w:rsid w:val="00F40C19"/>
    <w:rsid w:val="00F415F7"/>
    <w:rsid w:val="00F42F4C"/>
    <w:rsid w:val="00F43829"/>
    <w:rsid w:val="00F45745"/>
    <w:rsid w:val="00F460C4"/>
    <w:rsid w:val="00F46AFD"/>
    <w:rsid w:val="00F605B6"/>
    <w:rsid w:val="00F62BDA"/>
    <w:rsid w:val="00F63193"/>
    <w:rsid w:val="00F65EF8"/>
    <w:rsid w:val="00F6671D"/>
    <w:rsid w:val="00F66CD1"/>
    <w:rsid w:val="00F678F8"/>
    <w:rsid w:val="00F67913"/>
    <w:rsid w:val="00F7012E"/>
    <w:rsid w:val="00F70ACE"/>
    <w:rsid w:val="00F71CC9"/>
    <w:rsid w:val="00F72BBD"/>
    <w:rsid w:val="00F754DC"/>
    <w:rsid w:val="00F7611D"/>
    <w:rsid w:val="00F80B18"/>
    <w:rsid w:val="00F85603"/>
    <w:rsid w:val="00F861A5"/>
    <w:rsid w:val="00F86E00"/>
    <w:rsid w:val="00F900E0"/>
    <w:rsid w:val="00F90C82"/>
    <w:rsid w:val="00F9163C"/>
    <w:rsid w:val="00F923CB"/>
    <w:rsid w:val="00F93B18"/>
    <w:rsid w:val="00F952D3"/>
    <w:rsid w:val="00F96F69"/>
    <w:rsid w:val="00FA1B9C"/>
    <w:rsid w:val="00FA1DCE"/>
    <w:rsid w:val="00FA244F"/>
    <w:rsid w:val="00FA2B74"/>
    <w:rsid w:val="00FA2E8D"/>
    <w:rsid w:val="00FA2FA9"/>
    <w:rsid w:val="00FA4696"/>
    <w:rsid w:val="00FA4955"/>
    <w:rsid w:val="00FA515F"/>
    <w:rsid w:val="00FA69F2"/>
    <w:rsid w:val="00FB210D"/>
    <w:rsid w:val="00FB46E7"/>
    <w:rsid w:val="00FB53C1"/>
    <w:rsid w:val="00FB6632"/>
    <w:rsid w:val="00FB76D4"/>
    <w:rsid w:val="00FB7840"/>
    <w:rsid w:val="00FC1719"/>
    <w:rsid w:val="00FC1C30"/>
    <w:rsid w:val="00FC4F0E"/>
    <w:rsid w:val="00FD1958"/>
    <w:rsid w:val="00FD1F33"/>
    <w:rsid w:val="00FD3631"/>
    <w:rsid w:val="00FD3E00"/>
    <w:rsid w:val="00FD531C"/>
    <w:rsid w:val="00FD6154"/>
    <w:rsid w:val="00FD6FBA"/>
    <w:rsid w:val="00FD77C9"/>
    <w:rsid w:val="00FD799D"/>
    <w:rsid w:val="00FE04FE"/>
    <w:rsid w:val="00FE3F4B"/>
    <w:rsid w:val="00FE5CAD"/>
    <w:rsid w:val="00FE6A24"/>
    <w:rsid w:val="00FE7B1A"/>
    <w:rsid w:val="00FE7DD3"/>
    <w:rsid w:val="00FF0002"/>
    <w:rsid w:val="00FF03C6"/>
    <w:rsid w:val="00FF1DAA"/>
    <w:rsid w:val="00FF249B"/>
    <w:rsid w:val="00FF261F"/>
    <w:rsid w:val="00FF2CF6"/>
    <w:rsid w:val="00FF3334"/>
    <w:rsid w:val="00FF4773"/>
    <w:rsid w:val="00FF62FE"/>
    <w:rsid w:val="00FF656E"/>
    <w:rsid w:val="00FF6D65"/>
    <w:rsid w:val="01AA14C9"/>
    <w:rsid w:val="01F13DFC"/>
    <w:rsid w:val="03D22ED2"/>
    <w:rsid w:val="04C06C0E"/>
    <w:rsid w:val="0714074A"/>
    <w:rsid w:val="08353D2A"/>
    <w:rsid w:val="0A4039C2"/>
    <w:rsid w:val="0C1C315F"/>
    <w:rsid w:val="0E70546E"/>
    <w:rsid w:val="14C2204C"/>
    <w:rsid w:val="17CB7C55"/>
    <w:rsid w:val="18B51931"/>
    <w:rsid w:val="19AE5144"/>
    <w:rsid w:val="1B4F22AF"/>
    <w:rsid w:val="1C1422EE"/>
    <w:rsid w:val="1D3C75B0"/>
    <w:rsid w:val="1F066D2A"/>
    <w:rsid w:val="20482DE5"/>
    <w:rsid w:val="213E67B8"/>
    <w:rsid w:val="21F2758D"/>
    <w:rsid w:val="23F86101"/>
    <w:rsid w:val="24D20B5E"/>
    <w:rsid w:val="264713FD"/>
    <w:rsid w:val="269B560B"/>
    <w:rsid w:val="294330CA"/>
    <w:rsid w:val="29A61694"/>
    <w:rsid w:val="2C340ACE"/>
    <w:rsid w:val="2C823A86"/>
    <w:rsid w:val="2C895D32"/>
    <w:rsid w:val="32672BC3"/>
    <w:rsid w:val="330F4E4D"/>
    <w:rsid w:val="35432EF5"/>
    <w:rsid w:val="3A715DEA"/>
    <w:rsid w:val="3B0B21A3"/>
    <w:rsid w:val="3C074BD0"/>
    <w:rsid w:val="3DB3203C"/>
    <w:rsid w:val="3E0550B0"/>
    <w:rsid w:val="3F205414"/>
    <w:rsid w:val="3F540711"/>
    <w:rsid w:val="4329708D"/>
    <w:rsid w:val="445C00A2"/>
    <w:rsid w:val="453F58BD"/>
    <w:rsid w:val="4D940E1E"/>
    <w:rsid w:val="4F6D1107"/>
    <w:rsid w:val="502578E3"/>
    <w:rsid w:val="56E819F7"/>
    <w:rsid w:val="5763116A"/>
    <w:rsid w:val="58FE2B4E"/>
    <w:rsid w:val="5E576620"/>
    <w:rsid w:val="5F4E1A78"/>
    <w:rsid w:val="62256BE0"/>
    <w:rsid w:val="63FA7134"/>
    <w:rsid w:val="645B0488"/>
    <w:rsid w:val="658B38EF"/>
    <w:rsid w:val="65A74A6B"/>
    <w:rsid w:val="676F2920"/>
    <w:rsid w:val="677F3700"/>
    <w:rsid w:val="68541C4E"/>
    <w:rsid w:val="6B2472D5"/>
    <w:rsid w:val="6BAA2447"/>
    <w:rsid w:val="6E766FDA"/>
    <w:rsid w:val="6E7F3FBA"/>
    <w:rsid w:val="718F2043"/>
    <w:rsid w:val="71DA5DA0"/>
    <w:rsid w:val="723241DD"/>
    <w:rsid w:val="78062967"/>
    <w:rsid w:val="7E9C5E7F"/>
    <w:rsid w:val="7F637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qFormat="1" w:unhideWhenUsed="0"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pPr>
    <w:rPr>
      <w:rFonts w:hint="eastAsia"/>
    </w:rPr>
  </w:style>
  <w:style w:type="paragraph" w:styleId="5">
    <w:name w:val="Normal Indent"/>
    <w:basedOn w:val="1"/>
    <w:unhideWhenUsed/>
    <w:qFormat/>
    <w:uiPriority w:val="99"/>
    <w:pPr>
      <w:ind w:firstLine="420" w:firstLineChars="200"/>
    </w:pPr>
    <w:rPr>
      <w:rFonts w:ascii="Times New Roman" w:hAnsi="Times New Roman" w:eastAsia="宋体" w:cs="Calibri"/>
      <w:szCs w:val="21"/>
    </w:rPr>
  </w:style>
  <w:style w:type="paragraph" w:styleId="6">
    <w:name w:val="annotation text"/>
    <w:basedOn w:val="1"/>
    <w:link w:val="38"/>
    <w:unhideWhenUsed/>
    <w:qFormat/>
    <w:uiPriority w:val="99"/>
    <w:pPr>
      <w:jc w:val="left"/>
    </w:pPr>
    <w:rPr>
      <w:rFonts w:ascii="Calibri" w:hAnsi="Calibri" w:cs="Calibri"/>
      <w:szCs w:val="21"/>
    </w:rPr>
  </w:style>
  <w:style w:type="paragraph" w:styleId="7">
    <w:name w:val="Balloon Text"/>
    <w:basedOn w:val="1"/>
    <w:link w:val="30"/>
    <w:semiHidden/>
    <w:unhideWhenUsed/>
    <w:qFormat/>
    <w:uiPriority w:val="99"/>
    <w:rPr>
      <w:sz w:val="18"/>
      <w:szCs w:val="18"/>
    </w:rPr>
  </w:style>
  <w:style w:type="paragraph" w:styleId="8">
    <w:name w:val="footer"/>
    <w:basedOn w:val="1"/>
    <w:link w:val="24"/>
    <w:unhideWhenUsed/>
    <w:qFormat/>
    <w:uiPriority w:val="99"/>
    <w:pPr>
      <w:tabs>
        <w:tab w:val="center" w:pos="4153"/>
        <w:tab w:val="right" w:pos="8306"/>
      </w:tabs>
      <w:snapToGrid w:val="0"/>
      <w:jc w:val="left"/>
    </w:pPr>
    <w:rPr>
      <w:sz w:val="18"/>
      <w:szCs w:val="18"/>
    </w:rPr>
  </w:style>
  <w:style w:type="paragraph" w:styleId="9">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footnote text"/>
    <w:basedOn w:val="1"/>
    <w:link w:val="26"/>
    <w:qFormat/>
    <w:uiPriority w:val="99"/>
    <w:pPr>
      <w:snapToGrid w:val="0"/>
      <w:jc w:val="left"/>
    </w:pPr>
    <w:rPr>
      <w:rFonts w:ascii="Calibri" w:hAnsi="Calibri" w:eastAsia="宋体" w:cs="Calibri"/>
      <w:sz w:val="18"/>
      <w:szCs w:val="1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4">
    <w:name w:val="annotation subject"/>
    <w:basedOn w:val="6"/>
    <w:next w:val="6"/>
    <w:link w:val="41"/>
    <w:semiHidden/>
    <w:unhideWhenUsed/>
    <w:qFormat/>
    <w:uiPriority w:val="99"/>
    <w:rPr>
      <w:rFonts w:asciiTheme="minorHAnsi" w:hAnsiTheme="minorHAnsi" w:cstheme="minorBidi"/>
      <w:b/>
      <w:bCs/>
      <w:szCs w:val="22"/>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styleId="20">
    <w:name w:val="annotation reference"/>
    <w:basedOn w:val="17"/>
    <w:semiHidden/>
    <w:unhideWhenUsed/>
    <w:qFormat/>
    <w:uiPriority w:val="99"/>
    <w:rPr>
      <w:sz w:val="21"/>
      <w:szCs w:val="21"/>
    </w:rPr>
  </w:style>
  <w:style w:type="character" w:styleId="21">
    <w:name w:val="footnote reference"/>
    <w:qFormat/>
    <w:uiPriority w:val="99"/>
    <w:rPr>
      <w:rFonts w:cs="Times New Roman"/>
      <w:vertAlign w:val="superscript"/>
    </w:rPr>
  </w:style>
  <w:style w:type="paragraph" w:styleId="22">
    <w:name w:val="List Paragraph"/>
    <w:basedOn w:val="1"/>
    <w:qFormat/>
    <w:uiPriority w:val="34"/>
    <w:pPr>
      <w:ind w:firstLine="420" w:firstLineChars="200"/>
    </w:pPr>
  </w:style>
  <w:style w:type="character" w:customStyle="1" w:styleId="23">
    <w:name w:val="页眉 字符"/>
    <w:basedOn w:val="17"/>
    <w:link w:val="9"/>
    <w:qFormat/>
    <w:uiPriority w:val="99"/>
    <w:rPr>
      <w:sz w:val="18"/>
      <w:szCs w:val="18"/>
    </w:rPr>
  </w:style>
  <w:style w:type="character" w:customStyle="1" w:styleId="24">
    <w:name w:val="页脚 字符"/>
    <w:basedOn w:val="17"/>
    <w:link w:val="8"/>
    <w:qFormat/>
    <w:uiPriority w:val="99"/>
    <w:rPr>
      <w:sz w:val="18"/>
      <w:szCs w:val="18"/>
    </w:rPr>
  </w:style>
  <w:style w:type="paragraph" w:customStyle="1" w:styleId="25">
    <w:name w:val="Char"/>
    <w:basedOn w:val="1"/>
    <w:qFormat/>
    <w:uiPriority w:val="0"/>
    <w:rPr>
      <w:rFonts w:ascii="Times New Roman" w:hAnsi="Times New Roman" w:eastAsia="宋体" w:cs="Times New Roman"/>
      <w:szCs w:val="24"/>
    </w:rPr>
  </w:style>
  <w:style w:type="character" w:customStyle="1" w:styleId="26">
    <w:name w:val="脚注文本 字符"/>
    <w:link w:val="11"/>
    <w:qFormat/>
    <w:locked/>
    <w:uiPriority w:val="99"/>
    <w:rPr>
      <w:rFonts w:ascii="Calibri" w:hAnsi="Calibri" w:eastAsia="宋体" w:cs="Calibri"/>
      <w:sz w:val="18"/>
      <w:szCs w:val="18"/>
    </w:rPr>
  </w:style>
  <w:style w:type="character" w:customStyle="1" w:styleId="27">
    <w:name w:val="脚注文本 Char1"/>
    <w:basedOn w:val="17"/>
    <w:semiHidden/>
    <w:qFormat/>
    <w:uiPriority w:val="99"/>
    <w:rPr>
      <w:sz w:val="18"/>
      <w:szCs w:val="18"/>
    </w:rPr>
  </w:style>
  <w:style w:type="paragraph" w:customStyle="1" w:styleId="28">
    <w:name w:val="首行缩进"/>
    <w:basedOn w:val="1"/>
    <w:qFormat/>
    <w:uiPriority w:val="0"/>
    <w:rPr>
      <w:rFonts w:ascii="Calibri" w:hAnsi="Calibri" w:eastAsia="宋体" w:cs="Calibri"/>
      <w:szCs w:val="21"/>
    </w:rPr>
  </w:style>
  <w:style w:type="paragraph" w:customStyle="1" w:styleId="29">
    <w:name w:val="正文缩进1"/>
    <w:basedOn w:val="1"/>
    <w:qFormat/>
    <w:uiPriority w:val="99"/>
    <w:pPr>
      <w:ind w:firstLine="420" w:firstLineChars="200"/>
    </w:pPr>
    <w:rPr>
      <w:rFonts w:ascii="Calibri" w:hAnsi="Calibri" w:eastAsia="宋体" w:cs="Calibri"/>
      <w:szCs w:val="21"/>
    </w:rPr>
  </w:style>
  <w:style w:type="character" w:customStyle="1" w:styleId="30">
    <w:name w:val="批注框文本 字符"/>
    <w:basedOn w:val="17"/>
    <w:link w:val="7"/>
    <w:semiHidden/>
    <w:qFormat/>
    <w:uiPriority w:val="99"/>
    <w:rPr>
      <w:sz w:val="18"/>
      <w:szCs w:val="18"/>
    </w:rPr>
  </w:style>
  <w:style w:type="character" w:customStyle="1" w:styleId="31">
    <w:name w:val="标题 2 字符"/>
    <w:basedOn w:val="17"/>
    <w:link w:val="4"/>
    <w:semiHidden/>
    <w:qFormat/>
    <w:uiPriority w:val="9"/>
    <w:rPr>
      <w:rFonts w:asciiTheme="majorHAnsi" w:hAnsiTheme="majorHAnsi" w:eastAsiaTheme="majorEastAsia" w:cstheme="majorBidi"/>
      <w:b/>
      <w:bCs/>
      <w:sz w:val="32"/>
      <w:szCs w:val="32"/>
    </w:rPr>
  </w:style>
  <w:style w:type="character" w:customStyle="1" w:styleId="32">
    <w:name w:val="样式1 Char"/>
    <w:link w:val="33"/>
    <w:qFormat/>
    <w:locked/>
    <w:uiPriority w:val="0"/>
    <w:rPr>
      <w:rFonts w:ascii="仿宋_GB2312" w:hAnsi="Calibri" w:eastAsia="仿宋_GB2312"/>
      <w:sz w:val="28"/>
    </w:rPr>
  </w:style>
  <w:style w:type="paragraph" w:customStyle="1" w:styleId="33">
    <w:name w:val="样式1"/>
    <w:basedOn w:val="1"/>
    <w:link w:val="32"/>
    <w:qFormat/>
    <w:uiPriority w:val="0"/>
    <w:pPr>
      <w:ind w:firstLine="560" w:firstLineChars="200"/>
    </w:pPr>
    <w:rPr>
      <w:rFonts w:ascii="仿宋_GB2312" w:hAnsi="Calibri" w:eastAsia="仿宋_GB2312"/>
      <w:sz w:val="28"/>
    </w:rPr>
  </w:style>
  <w:style w:type="character" w:customStyle="1" w:styleId="34">
    <w:name w:val="标题 1 字符"/>
    <w:basedOn w:val="17"/>
    <w:link w:val="3"/>
    <w:qFormat/>
    <w:uiPriority w:val="9"/>
    <w:rPr>
      <w:b/>
      <w:bCs/>
      <w:kern w:val="44"/>
      <w:sz w:val="44"/>
      <w:szCs w:val="44"/>
    </w:rPr>
  </w:style>
  <w:style w:type="paragraph" w:customStyle="1" w:styleId="35">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6">
    <w:name w:val="列出段落1"/>
    <w:basedOn w:val="1"/>
    <w:qFormat/>
    <w:uiPriority w:val="34"/>
    <w:pPr>
      <w:ind w:firstLine="420" w:firstLineChars="200"/>
    </w:pPr>
  </w:style>
  <w:style w:type="character" w:customStyle="1" w:styleId="37">
    <w:name w:val="Footer Char1"/>
    <w:semiHidden/>
    <w:qFormat/>
    <w:uiPriority w:val="99"/>
    <w:rPr>
      <w:rFonts w:ascii="Calibri" w:hAnsi="Calibri" w:cs="Calibri"/>
      <w:sz w:val="18"/>
      <w:szCs w:val="18"/>
    </w:rPr>
  </w:style>
  <w:style w:type="character" w:customStyle="1" w:styleId="38">
    <w:name w:val="批注文字 字符"/>
    <w:link w:val="6"/>
    <w:qFormat/>
    <w:uiPriority w:val="99"/>
    <w:rPr>
      <w:rFonts w:ascii="Calibri" w:hAnsi="Calibri" w:cs="Calibri"/>
      <w:szCs w:val="21"/>
    </w:rPr>
  </w:style>
  <w:style w:type="character" w:customStyle="1" w:styleId="39">
    <w:name w:val="批注文字 Char1"/>
    <w:basedOn w:val="17"/>
    <w:semiHidden/>
    <w:qFormat/>
    <w:uiPriority w:val="99"/>
  </w:style>
  <w:style w:type="paragraph" w:customStyle="1" w:styleId="40">
    <w:name w:val="TOC Heading"/>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41">
    <w:name w:val="批注主题 字符"/>
    <w:basedOn w:val="38"/>
    <w:link w:val="14"/>
    <w:semiHidden/>
    <w:qFormat/>
    <w:uiPriority w:val="99"/>
    <w:rPr>
      <w:rFonts w:ascii="Calibri" w:hAnsi="Calibri" w:cs="Calibri"/>
      <w:b/>
      <w:bCs/>
      <w:kern w:val="2"/>
      <w:sz w:val="21"/>
      <w:szCs w:val="22"/>
    </w:rPr>
  </w:style>
  <w:style w:type="paragraph" w:customStyle="1" w:styleId="42">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FE149B-2FE3-42AD-B673-83B26403B7C1}">
  <ds:schemaRefs/>
</ds:datastoreItem>
</file>

<file path=docProps/app.xml><?xml version="1.0" encoding="utf-8"?>
<Properties xmlns="http://schemas.openxmlformats.org/officeDocument/2006/extended-properties" xmlns:vt="http://schemas.openxmlformats.org/officeDocument/2006/docPropsVTypes">
  <Template>Normal</Template>
  <Pages>84</Pages>
  <Words>8102</Words>
  <Characters>46185</Characters>
  <Lines>384</Lines>
  <Paragraphs>108</Paragraphs>
  <TotalTime>0</TotalTime>
  <ScaleCrop>false</ScaleCrop>
  <LinksUpToDate>false</LinksUpToDate>
  <CharactersWithSpaces>54179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2021-02-23T00:49:00Z</dcterms:created>
  <dc:creator>lenovo</dc:creator>
  <cp:lastModifiedBy>N.s</cp:lastModifiedBy>
  <cp:lastPrinted>2020-11-20T00:40:00Z</cp:lastPrinted>
  <dcterms:modified xsi:type="dcterms:W3CDTF">2021-11-11T02:53:28Z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B26DC56126CC4B6CB5686D472B9BA2D8</vt:lpwstr>
  </property>
</Properties>
</file>