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w:t>
      </w:r>
      <w:r>
        <w:rPr>
          <w:rFonts w:hint="eastAsia" w:ascii="黑体" w:hAnsi="黑体" w:eastAsia="黑体" w:cs="黑体"/>
          <w:sz w:val="52"/>
          <w:szCs w:val="52"/>
          <w:lang w:val="en-US" w:eastAsia="zh-CN"/>
        </w:rPr>
        <w:t>9</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中国共产党夏邑县委员会统一战线</w:t>
      </w:r>
    </w:p>
    <w:p>
      <w:pPr>
        <w:jc w:val="center"/>
        <w:rPr>
          <w:rFonts w:ascii="黑体" w:hAnsi="黑体" w:eastAsia="黑体" w:cs="黑体"/>
          <w:sz w:val="52"/>
          <w:szCs w:val="52"/>
        </w:rPr>
      </w:pPr>
      <w:r>
        <w:rPr>
          <w:rFonts w:hint="eastAsia" w:ascii="黑体" w:hAnsi="黑体" w:eastAsia="黑体" w:cs="黑体"/>
          <w:sz w:val="52"/>
          <w:szCs w:val="52"/>
        </w:rPr>
        <w:t>工作部部门决算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w:t>
      </w:r>
      <w:r>
        <w:rPr>
          <w:rFonts w:hint="eastAsia" w:ascii="黑体" w:hAnsi="黑体" w:eastAsia="黑体" w:cs="黑体"/>
          <w:sz w:val="32"/>
          <w:szCs w:val="32"/>
          <w:lang w:eastAsia="zh-CN"/>
        </w:rPr>
        <w:t>二</w:t>
      </w:r>
      <w:r>
        <w:rPr>
          <w:rFonts w:hint="eastAsia" w:ascii="黑体" w:hAnsi="黑体" w:eastAsia="黑体" w:cs="黑体"/>
          <w:sz w:val="32"/>
          <w:szCs w:val="32"/>
        </w:rPr>
        <w:t>〇年</w:t>
      </w:r>
      <w:r>
        <w:rPr>
          <w:rFonts w:hint="eastAsia" w:ascii="黑体" w:hAnsi="黑体" w:eastAsia="黑体" w:cs="黑体"/>
          <w:sz w:val="32"/>
          <w:szCs w:val="32"/>
          <w:lang w:eastAsia="zh-CN"/>
        </w:rPr>
        <w:t>十</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中国共产党夏邑县委员会统一战线工作部概况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中国共产党夏邑县委员会统一战线工作部概况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1、调查研究统一战线的理论和重大的方针政策，组织贯彻执行中共中央关于统一战线的方针、政策；向中央反映情况，提出开展统战工作的意见和建议。 </w:t>
      </w:r>
    </w:p>
    <w:p>
      <w:pPr>
        <w:widowControl/>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2、负责联系各民主党派和无党派代表人士，及时通报情况，反映他们的意见和建议；研究、贯彻党领导的多党合作和政治协商制度及对民主党派的方针、政策；落实中央关于发挥民主党派、无党派人士参政议政和民主监督作用的工作；支持、帮助各民主党派强自身建设。</w:t>
      </w:r>
    </w:p>
    <w:p>
      <w:pPr>
        <w:widowControl/>
        <w:ind w:firstLine="640" w:firstLineChars="200"/>
        <w:jc w:val="left"/>
        <w:outlineLvl w:val="1"/>
        <w:rPr>
          <w:rFonts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shd w:val="clear" w:color="auto" w:fill="FFFFFF"/>
        </w:rPr>
        <w:t>3、负责党外人士的安排，会同有关部门做好培养、选拔、推荐党外人士的工作。</w:t>
      </w:r>
      <w:r>
        <w:rPr>
          <w:rFonts w:hint="eastAsia" w:ascii="仿宋_GB2312" w:hAnsi="仿宋_GB2312" w:eastAsia="仿宋_GB2312" w:cs="仿宋_GB2312"/>
          <w:kern w:val="0"/>
          <w:sz w:val="32"/>
          <w:szCs w:val="32"/>
        </w:rPr>
        <w:t xml:space="preserve"> 　</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中国共产党夏邑县委员会统一战线工作部内设机构1个。</w:t>
      </w:r>
    </w:p>
    <w:p>
      <w:pPr>
        <w:widowControl/>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从决算单位构成看，中国共产党夏邑县委员会统一战线工作部部门决算包括：本级决算、所属单位决算。</w:t>
      </w:r>
    </w:p>
    <w:p>
      <w:pPr>
        <w:widowControl/>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年度部门决算编制范围的单位共</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个，其中二级预算单位</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具体是：</w:t>
      </w:r>
    </w:p>
    <w:p>
      <w:pPr>
        <w:widowControl/>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1.中国共产党夏邑县委员会统一战线工作部本级</w:t>
      </w:r>
    </w:p>
    <w:p>
      <w:pPr>
        <w:widowControl/>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2.机关服务中心</w:t>
      </w:r>
    </w:p>
    <w:p>
      <w:pPr>
        <w:widowControl/>
        <w:jc w:val="both"/>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年度部门决算表</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both"/>
        <w:outlineLvl w:val="0"/>
        <w:rPr>
          <w:rFonts w:ascii="黑体" w:hAnsi="黑体" w:eastAsia="黑体" w:cs="黑体"/>
          <w:sz w:val="48"/>
          <w:szCs w:val="48"/>
        </w:rPr>
        <w:sectPr>
          <w:pgSz w:w="11906" w:h="16838"/>
          <w:pgMar w:top="1440" w:right="1800" w:bottom="1440" w:left="1800" w:header="851" w:footer="992" w:gutter="0"/>
          <w:cols w:space="425"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464" w:hRule="atLeast"/>
        </w:trPr>
        <w:tc>
          <w:tcPr>
            <w:tcW w:w="6868"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150.235</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133.88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150.235</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1.485</w:t>
            </w:r>
          </w:p>
        </w:tc>
        <w:tc>
          <w:tcPr>
            <w:tcW w:w="4671"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9"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9"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auto"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auto"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151.72</w:t>
            </w:r>
          </w:p>
        </w:tc>
        <w:tc>
          <w:tcPr>
            <w:tcW w:w="4671" w:type="dxa"/>
            <w:tcBorders>
              <w:top w:val="single" w:color="auto"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9"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151.72</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
    <w:p/>
    <w:p/>
    <w:p/>
    <w:p/>
    <w:p/>
    <w:p/>
    <w:p/>
    <w:p/>
    <w:p/>
    <w:p/>
    <w:p/>
    <w:p/>
    <w:p/>
    <w:p/>
    <w:p/>
    <w:p/>
    <w:p/>
    <w:p/>
    <w:p/>
    <w:p/>
    <w:p/>
    <w:p/>
    <w:tbl>
      <w:tblPr>
        <w:tblStyle w:val="6"/>
        <w:tblW w:w="13845" w:type="dxa"/>
        <w:tblInd w:w="0" w:type="dxa"/>
        <w:tblLayout w:type="fixed"/>
        <w:tblCellMar>
          <w:top w:w="0" w:type="dxa"/>
          <w:left w:w="0" w:type="dxa"/>
          <w:bottom w:w="0" w:type="dxa"/>
          <w:right w:w="0" w:type="dxa"/>
        </w:tblCellMar>
      </w:tblPr>
      <w:tblGrid>
        <w:gridCol w:w="1027"/>
        <w:gridCol w:w="59"/>
        <w:gridCol w:w="2018"/>
        <w:gridCol w:w="806"/>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5463"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104"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9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9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104"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50" w:hRule="atLeast"/>
        </w:trPr>
        <w:tc>
          <w:tcPr>
            <w:tcW w:w="3104"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150.235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150.235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20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一般公共服务支出</w:t>
            </w:r>
          </w:p>
        </w:tc>
        <w:tc>
          <w:tcPr>
            <w:tcW w:w="8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137.085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137.085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20103</w:t>
            </w:r>
          </w:p>
        </w:tc>
        <w:tc>
          <w:tcPr>
            <w:tcW w:w="20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政府办公室及相关机构事务</w:t>
            </w:r>
          </w:p>
        </w:tc>
        <w:tc>
          <w:tcPr>
            <w:tcW w:w="8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2010301</w:t>
            </w:r>
          </w:p>
        </w:tc>
        <w:tc>
          <w:tcPr>
            <w:tcW w:w="20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行政运行</w:t>
            </w:r>
          </w:p>
        </w:tc>
        <w:tc>
          <w:tcPr>
            <w:tcW w:w="8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20134</w:t>
            </w:r>
          </w:p>
        </w:tc>
        <w:tc>
          <w:tcPr>
            <w:tcW w:w="20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统战事务</w:t>
            </w:r>
          </w:p>
        </w:tc>
        <w:tc>
          <w:tcPr>
            <w:tcW w:w="8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134.565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134.565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2013401</w:t>
            </w:r>
          </w:p>
        </w:tc>
        <w:tc>
          <w:tcPr>
            <w:tcW w:w="20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行政运行</w:t>
            </w:r>
          </w:p>
        </w:tc>
        <w:tc>
          <w:tcPr>
            <w:tcW w:w="89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99.745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99.745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2013404</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宗教事务</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34.82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34.82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社会保障和就业支出</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行政事业单位离退休</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2080505</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top"/>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6"/>
                <w:szCs w:val="16"/>
                <w:u w:val="none"/>
                <w:lang w:eastAsia="zh-CN"/>
              </w:rPr>
              <w:t>机关事业单位基本养老保险缴费支出</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top"/>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卫生健康支出</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行政事业单位医疗</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2101101</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行政单位医疗</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住房保障支出</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22101</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保障性安居工程支出</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0.77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0.77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2210105</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农村危房改造</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0.77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0.77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住房改革支出</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2210201</w:t>
            </w:r>
          </w:p>
        </w:tc>
        <w:tc>
          <w:tcPr>
            <w:tcW w:w="201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住房公积金</w:t>
            </w:r>
          </w:p>
        </w:tc>
        <w:tc>
          <w:tcPr>
            <w:tcW w:w="89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120"/>
        <w:gridCol w:w="63"/>
        <w:gridCol w:w="27"/>
        <w:gridCol w:w="2519"/>
        <w:gridCol w:w="604"/>
        <w:gridCol w:w="596"/>
        <w:gridCol w:w="1206"/>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1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0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6135" w:type="dxa"/>
            <w:gridSpan w:val="7"/>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72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2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3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54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4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72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372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147.03</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147.03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一般公共服务支出</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133.88</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133.88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20103</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eastAsia="zh-CN"/>
              </w:rPr>
              <w:t>政府办公室及相关机构事务</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2010301</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行政运行</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20134</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统战事务</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131.36</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131.36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2013401</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行政运行</w:t>
            </w:r>
          </w:p>
        </w:tc>
        <w:tc>
          <w:tcPr>
            <w:tcW w:w="12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96.54</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96.54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2013404</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宗教事务</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34.82</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34.82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7.74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行政事业单位离退休</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7.74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2080505</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机关事业单位基本养老保险缴费支出</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7.74</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卫生健康支出</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行政事业单位医疗</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2101101</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行政单位医疗</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2.59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住房保障支出</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ordWrap/>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2.82 </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ordWrap/>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 xml:space="preserve">2.82 </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22101</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保障性安居工程支出</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0.77</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0.77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2210105</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农村危房改造</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0.77</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0.77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住房改革支出</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2.05</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2210201</w:t>
            </w:r>
          </w:p>
        </w:tc>
        <w:tc>
          <w:tcPr>
            <w:tcW w:w="254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住房公积金</w:t>
            </w:r>
          </w:p>
        </w:tc>
        <w:tc>
          <w:tcPr>
            <w:tcW w:w="120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2.05</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2.05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592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150.235</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133.88</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133.88</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二、</w:t>
            </w:r>
            <w:r>
              <w:rPr>
                <w:rFonts w:hint="eastAsia" w:ascii="宋体" w:hAnsi="宋体" w:cs="宋体"/>
                <w:i w:val="0"/>
                <w:color w:val="000000"/>
                <w:kern w:val="0"/>
                <w:sz w:val="20"/>
                <w:szCs w:val="20"/>
                <w:u w:val="none"/>
                <w:lang w:val="en-US" w:eastAsia="zh-CN" w:bidi="ar"/>
              </w:rPr>
              <w:t>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r>
              <w:rPr>
                <w:rFonts w:hint="eastAsia" w:ascii="宋体" w:hAnsi="宋体" w:cs="宋体"/>
                <w:i w:val="0"/>
                <w:color w:val="000000"/>
                <w:kern w:val="0"/>
                <w:sz w:val="20"/>
                <w:szCs w:val="20"/>
                <w:u w:val="none"/>
                <w:lang w:val="en-US" w:eastAsia="zh-CN" w:bidi="ar"/>
              </w:rPr>
              <w:t>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r>
              <w:rPr>
                <w:rFonts w:hint="eastAsia" w:ascii="宋体" w:hAnsi="宋体" w:cs="宋体"/>
                <w:i w:val="0"/>
                <w:color w:val="000000"/>
                <w:kern w:val="0"/>
                <w:sz w:val="20"/>
                <w:szCs w:val="20"/>
                <w:u w:val="none"/>
                <w:lang w:val="en-US" w:eastAsia="zh-CN" w:bidi="ar"/>
              </w:rPr>
              <w:t>住房保障</w:t>
            </w:r>
            <w:r>
              <w:rPr>
                <w:rFonts w:hint="eastAsia" w:ascii="宋体" w:hAnsi="宋体" w:eastAsia="宋体" w:cs="宋体"/>
                <w:i w:val="0"/>
                <w:color w:val="000000"/>
                <w:kern w:val="0"/>
                <w:sz w:val="20"/>
                <w:szCs w:val="20"/>
                <w:u w:val="none"/>
                <w:lang w:val="en-US" w:eastAsia="zh-CN" w:bidi="ar"/>
              </w:rPr>
              <w:t>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2.82</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2.82</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150.235</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147.03</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147.03</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1.485</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4.69</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4.69</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1.485</w:t>
            </w:r>
          </w:p>
        </w:tc>
        <w:tc>
          <w:tcPr>
            <w:tcW w:w="3400"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08" w:type="dxa"/>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72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1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3400" w:type="dxa"/>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08" w:type="dxa"/>
            <w:tcBorders>
              <w:top w:val="single" w:color="auto" w:sz="4" w:space="0"/>
              <w:left w:val="nil"/>
              <w:bottom w:val="single" w:color="auto"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1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auto"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08" w:type="dxa"/>
            <w:tcBorders>
              <w:top w:val="single" w:color="auto"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auto"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151.72</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151.72</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151.726</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6"/>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14"/>
                <w:sz w:val="20"/>
                <w:szCs w:val="20"/>
                <w:lang w:val="en-US" w:eastAsia="zh-CN" w:bidi="ar"/>
              </w:rPr>
              <w:t>5表</w:t>
            </w:r>
          </w:p>
        </w:tc>
      </w:tr>
      <w:tr>
        <w:tblPrEx>
          <w:tblCellMar>
            <w:top w:w="0" w:type="dxa"/>
            <w:left w:w="0" w:type="dxa"/>
            <w:bottom w:w="0" w:type="dxa"/>
            <w:right w:w="0" w:type="dxa"/>
          </w:tblCellMar>
        </w:tblPrEx>
        <w:trPr>
          <w:trHeight w:val="300" w:hRule="atLeast"/>
        </w:trPr>
        <w:tc>
          <w:tcPr>
            <w:tcW w:w="7088"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5"/>
                <w:sz w:val="20"/>
                <w:szCs w:val="20"/>
                <w:lang w:val="en-US" w:eastAsia="zh-CN" w:bidi="ar"/>
              </w:rPr>
              <w:t xml:space="preserve">   </w:t>
            </w:r>
            <w:r>
              <w:rPr>
                <w:rStyle w:val="16"/>
                <w:sz w:val="20"/>
                <w:szCs w:val="20"/>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147.03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147.03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133.88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133.88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20103</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18"/>
                <w:szCs w:val="18"/>
                <w:u w:val="none"/>
                <w:lang w:eastAsia="zh-CN"/>
              </w:rPr>
              <w:t>政府办公室及相关机构事务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2010301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2.52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20134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统战事务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131.36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131.36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2013401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96.54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96.54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2013404</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宗教事务</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34.82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34.82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社会保障和就业支出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7.74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行政事业单位离退休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7.74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2080505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7.74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卫生健康支出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2.59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21011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2.59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2101101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2.59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住房保障支出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2.82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保障性安居工程支出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0.77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2210105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农村危房改造</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0.77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住房改革支出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2.05</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2.05</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2210201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住房公积金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2.05</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2.05</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5601" w:type="dxa"/>
            <w:gridSpan w:val="4"/>
            <w:tcBorders>
              <w:top w:val="nil"/>
              <w:left w:val="nil"/>
              <w:bottom w:val="nil"/>
              <w:right w:val="nil"/>
            </w:tcBorders>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rPr>
                <w:rFonts w:hint="default" w:ascii="Arial" w:hAnsi="Arial" w:eastAsia="宋体" w:cs="Arial"/>
                <w:i w:val="0"/>
                <w:color w:val="000000"/>
                <w:sz w:val="20"/>
                <w:szCs w:val="20"/>
                <w:u w:val="none"/>
              </w:rPr>
            </w:pPr>
          </w:p>
        </w:tc>
        <w:tc>
          <w:tcPr>
            <w:tcW w:w="2066"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357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66.56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50.61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7.74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2.76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67.33</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79.70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17"/>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eastAsia="宋体" w:cs="宋体"/>
          <w:i w:val="0"/>
          <w:color w:val="000000"/>
          <w:kern w:val="0"/>
          <w:sz w:val="20"/>
          <w:szCs w:val="20"/>
          <w:u w:val="none"/>
          <w:lang w:val="en-US" w:eastAsia="zh-CN" w:bidi="ar"/>
        </w:rPr>
        <w:t>说明：我部门2019无“三公”经费支出安排，故本表无数据。</w:t>
      </w:r>
    </w:p>
    <w:tbl>
      <w:tblPr>
        <w:tblStyle w:val="6"/>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8202"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部门：中国共产党夏邑县委员会统一战线</w:t>
            </w:r>
            <w:r>
              <w:rPr>
                <w:rFonts w:hint="eastAsia" w:ascii="宋体" w:hAnsi="宋体" w:cs="宋体"/>
                <w:i w:val="0"/>
                <w:color w:val="000000"/>
                <w:kern w:val="0"/>
                <w:sz w:val="20"/>
                <w:szCs w:val="20"/>
                <w:u w:val="none"/>
                <w:lang w:val="en-US" w:eastAsia="zh-CN" w:bidi="ar"/>
              </w:rPr>
              <w:t>工作部</w:t>
            </w:r>
          </w:p>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说明：我部门没有政府性基金收入，也没有使用政府性基金安排的支出，故本表无数据。</w:t>
            </w:r>
          </w:p>
        </w:tc>
      </w:tr>
    </w:tbl>
    <w:p>
      <w:pPr>
        <w:sectPr>
          <w:pgSz w:w="16838" w:h="11906" w:orient="landscape"/>
          <w:pgMar w:top="1800" w:right="1440" w:bottom="1800" w:left="1440" w:header="851" w:footer="992" w:gutter="0"/>
          <w:cols w:space="425" w:num="1"/>
          <w:docGrid w:type="lines" w:linePitch="312" w:charSpace="0"/>
        </w:sectPr>
      </w:pPr>
    </w:p>
    <w:p/>
    <w:p>
      <w:pPr>
        <w:rPr>
          <w:rFonts w:hint="eastAsia"/>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w:t>
      </w:r>
      <w:r>
        <w:rPr>
          <w:rFonts w:hint="eastAsia" w:ascii="黑体" w:hAnsi="黑体" w:eastAsia="黑体" w:cs="黑体"/>
          <w:sz w:val="48"/>
          <w:szCs w:val="48"/>
          <w:lang w:val="en-US" w:eastAsia="zh-CN"/>
        </w:rPr>
        <w:t>9</w:t>
      </w:r>
      <w:r>
        <w:rPr>
          <w:rFonts w:hint="eastAsia" w:ascii="黑体" w:hAnsi="黑体" w:eastAsia="黑体" w:cs="黑体"/>
          <w:sz w:val="48"/>
          <w:szCs w:val="48"/>
        </w:rPr>
        <w:t>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autoSpaceDE w:val="0"/>
        <w:autoSpaceDN w:val="0"/>
        <w:adjustRightIn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2019年度收、支总计均为151.72万元。与上年度相比，收、支总计各增加3.25万元，增长2.19%。</w:t>
      </w:r>
      <w:r>
        <w:rPr>
          <w:rFonts w:hint="eastAsia" w:ascii="仿宋_GB2312" w:hAnsi="仿宋_GB2312" w:eastAsia="仿宋_GB2312" w:cs="仿宋_GB2312"/>
          <w:sz w:val="32"/>
          <w:szCs w:val="32"/>
        </w:rPr>
        <w:t>主要原因是调增了人员工资、职业年金、机关事业单位基本养老保险缴费、及扶贫、综合治税专项支出等支出。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ind w:firstLine="640" w:firstLineChars="200"/>
        <w:jc w:val="left"/>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2019年度收入合计150.24万元，其中：</w:t>
      </w:r>
      <w:r>
        <w:rPr>
          <w:rFonts w:hint="eastAsia" w:ascii="仿宋_GB2312" w:hAnsi="仿宋_GB2312" w:eastAsia="仿宋_GB2312" w:cs="仿宋_GB2312"/>
          <w:sz w:val="32"/>
          <w:szCs w:val="32"/>
          <w:lang w:val="en-US"/>
        </w:rPr>
        <w:t>财政拨款收入</w:t>
      </w:r>
      <w:r>
        <w:rPr>
          <w:rFonts w:hint="default" w:ascii="仿宋_GB2312" w:hAnsi="仿宋_GB2312" w:eastAsia="仿宋_GB2312" w:cs="仿宋_GB2312"/>
          <w:sz w:val="32"/>
          <w:szCs w:val="32"/>
          <w:lang w:val="en-US"/>
        </w:rPr>
        <w:t>150.24</w:t>
      </w:r>
      <w:r>
        <w:rPr>
          <w:rFonts w:hint="eastAsia" w:ascii="仿宋_GB2312" w:hAnsi="仿宋_GB2312" w:eastAsia="仿宋_GB2312" w:cs="仿宋_GB2312"/>
          <w:sz w:val="32"/>
          <w:szCs w:val="32"/>
          <w:lang w:val="en-US"/>
        </w:rPr>
        <w:t>万元，占</w:t>
      </w:r>
      <w:r>
        <w:rPr>
          <w:rFonts w:hint="default" w:ascii="仿宋_GB2312" w:hAnsi="仿宋_GB2312" w:eastAsia="仿宋_GB2312" w:cs="仿宋_GB2312"/>
          <w:sz w:val="32"/>
          <w:szCs w:val="32"/>
          <w:lang w:val="en-US"/>
        </w:rPr>
        <w:t>100%</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三、支出决算情况说明</w:t>
      </w:r>
    </w:p>
    <w:p>
      <w:pPr>
        <w:autoSpaceDE w:val="0"/>
        <w:autoSpaceDN w:val="0"/>
        <w:adjustRightInd w:val="0"/>
        <w:ind w:firstLine="640" w:firstLineChars="200"/>
        <w:jc w:val="left"/>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2019年度支出合计147.03万元，其中：基本支出147.03万元，占100%。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2019年度财政拨款收、支总计均为151.72万元。与上年度相比，财政拨款收、支总计各增加3.25万元，增长2.19%。主要原因是调增了人员工资</w:t>
      </w:r>
      <w:r>
        <w:rPr>
          <w:rFonts w:hint="eastAsia" w:ascii="仿宋_GB2312" w:hAnsi="仿宋_GB2312" w:eastAsia="仿宋_GB2312" w:cs="仿宋_GB2312"/>
          <w:sz w:val="32"/>
          <w:szCs w:val="32"/>
        </w:rPr>
        <w:t>、职业年金、机关事业单位基本养老保险缴费、及扶贫、综合治税专项支出等支出。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2019年度一般公共预算财政拨款支出147.03万元，占本年支出合计的100%。与上年度相比，一般公共预算财政拨款支出增加0.04万元，增长0.03%。主要原因是调增了人员工资、职业</w:t>
      </w:r>
      <w:r>
        <w:rPr>
          <w:rFonts w:hint="eastAsia" w:ascii="仿宋_GB2312" w:hAnsi="仿宋_GB2312" w:eastAsia="仿宋_GB2312" w:cs="仿宋_GB2312"/>
          <w:sz w:val="32"/>
          <w:szCs w:val="32"/>
        </w:rPr>
        <w:t>年金、机关事业单位基本养老保险缴费、及扶贫等支出。</w:t>
      </w:r>
    </w:p>
    <w:p>
      <w:pPr>
        <w:keepNext w:val="0"/>
        <w:keepLines w:val="0"/>
        <w:pageBreakBefore w:val="0"/>
        <w:widowControl/>
        <w:kinsoku/>
        <w:wordWrap/>
        <w:overflowPunct/>
        <w:topLinePunct w:val="0"/>
        <w:bidi w:val="0"/>
        <w:snapToGrid/>
        <w:spacing w:line="240" w:lineRule="auto"/>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keepNext w:val="0"/>
        <w:keepLines w:val="0"/>
        <w:pageBreakBefore w:val="0"/>
        <w:widowControl/>
        <w:kinsoku/>
        <w:wordWrap/>
        <w:overflowPunct/>
        <w:topLinePunct w:val="0"/>
        <w:bidi w:val="0"/>
        <w:snapToGrid/>
        <w:spacing w:line="24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zh-CN"/>
        </w:rPr>
        <w:t>2019年度一般公共预算财政拨款支出147.03万元，</w:t>
      </w:r>
      <w:r>
        <w:rPr>
          <w:rFonts w:hint="eastAsia" w:ascii="仿宋_GB2312" w:hAnsi="仿宋_GB2312" w:eastAsia="仿宋_GB2312" w:cs="仿宋_GB2312"/>
          <w:sz w:val="32"/>
          <w:szCs w:val="32"/>
        </w:rPr>
        <w:t>主要用于以下方面：</w:t>
      </w:r>
      <w:r>
        <w:rPr>
          <w:rFonts w:hint="eastAsia" w:ascii="仿宋_GB2312" w:hAnsi="仿宋_GB2312" w:eastAsia="仿宋_GB2312" w:cs="仿宋_GB2312"/>
          <w:color w:val="auto"/>
          <w:sz w:val="32"/>
          <w:szCs w:val="32"/>
        </w:rPr>
        <w:t>一般公共服务（类）支出</w:t>
      </w:r>
      <w:r>
        <w:rPr>
          <w:rFonts w:hint="eastAsia" w:ascii="仿宋_GB2312" w:hAnsi="仿宋_GB2312" w:eastAsia="仿宋_GB2312" w:cs="仿宋_GB2312"/>
          <w:color w:val="auto"/>
          <w:sz w:val="32"/>
          <w:szCs w:val="32"/>
          <w:lang w:val="en-US" w:eastAsia="zh-CN"/>
        </w:rPr>
        <w:t>133.88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91.06</w:t>
      </w:r>
      <w:r>
        <w:rPr>
          <w:rFonts w:hint="eastAsia" w:ascii="仿宋_GB2312" w:hAnsi="仿宋_GB2312" w:eastAsia="仿宋_GB2312" w:cs="仿宋_GB2312"/>
          <w:color w:val="auto"/>
          <w:sz w:val="32"/>
          <w:szCs w:val="32"/>
        </w:rPr>
        <w:t>%；社会保障和就业（类）支出</w:t>
      </w:r>
      <w:r>
        <w:rPr>
          <w:rFonts w:hint="eastAsia" w:ascii="仿宋_GB2312" w:hAnsi="仿宋_GB2312" w:eastAsia="仿宋_GB2312" w:cs="仿宋_GB2312"/>
          <w:color w:val="auto"/>
          <w:sz w:val="32"/>
          <w:szCs w:val="32"/>
          <w:lang w:val="en-US" w:eastAsia="zh-CN"/>
        </w:rPr>
        <w:t>7.74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5.26</w:t>
      </w:r>
      <w:r>
        <w:rPr>
          <w:rFonts w:hint="eastAsia" w:ascii="仿宋_GB2312" w:hAnsi="仿宋_GB2312" w:eastAsia="仿宋_GB2312" w:cs="仿宋_GB2312"/>
          <w:color w:val="auto"/>
          <w:sz w:val="32"/>
          <w:szCs w:val="32"/>
        </w:rPr>
        <w:t>%；医疗卫生与计划生育（类）支出</w:t>
      </w:r>
      <w:r>
        <w:rPr>
          <w:rFonts w:hint="eastAsia" w:ascii="仿宋_GB2312" w:hAnsi="仿宋_GB2312" w:eastAsia="仿宋_GB2312" w:cs="仿宋_GB2312"/>
          <w:color w:val="auto"/>
          <w:sz w:val="32"/>
          <w:szCs w:val="32"/>
          <w:lang w:val="en-US" w:eastAsia="zh-CN"/>
        </w:rPr>
        <w:t>2.59</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1.76</w:t>
      </w:r>
      <w:r>
        <w:rPr>
          <w:rFonts w:hint="eastAsia" w:ascii="仿宋_GB2312" w:hAnsi="仿宋_GB2312" w:eastAsia="仿宋_GB2312" w:cs="仿宋_GB2312"/>
          <w:color w:val="auto"/>
          <w:sz w:val="32"/>
          <w:szCs w:val="32"/>
        </w:rPr>
        <w:t>%。住房保障(类)支出</w:t>
      </w:r>
      <w:r>
        <w:rPr>
          <w:rFonts w:hint="eastAsia" w:ascii="仿宋_GB2312" w:hAnsi="仿宋_GB2312" w:eastAsia="仿宋_GB2312" w:cs="仿宋_GB2312"/>
          <w:color w:val="auto"/>
          <w:sz w:val="32"/>
          <w:szCs w:val="32"/>
          <w:lang w:val="en-US" w:eastAsia="zh-CN"/>
        </w:rPr>
        <w:t>2.82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1.92</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napToGrid/>
        <w:spacing w:line="240" w:lineRule="auto"/>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keepNext w:val="0"/>
        <w:keepLines w:val="0"/>
        <w:pageBreakBefore w:val="0"/>
        <w:kinsoku/>
        <w:wordWrap/>
        <w:overflowPunct/>
        <w:topLinePunct w:val="0"/>
        <w:autoSpaceDE w:val="0"/>
        <w:autoSpaceDN w:val="0"/>
        <w:bidi w:val="0"/>
        <w:adjustRightInd w:val="0"/>
        <w:snapToGrid/>
        <w:spacing w:line="240" w:lineRule="auto"/>
        <w:ind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2019年度一般公共预算财政拨款支出年初预算为147.03万元，支出决算为147.03万元，完成年初预算的100%。</w:t>
      </w:r>
      <w:r>
        <w:rPr>
          <w:rFonts w:hint="eastAsia" w:ascii="仿宋_GB2312" w:hAnsi="仿宋_GB2312" w:eastAsia="仿宋_GB2312" w:cs="仿宋_GB2312"/>
          <w:sz w:val="32"/>
          <w:szCs w:val="32"/>
        </w:rPr>
        <w:t>其中：</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一般公共服务支出（类）</w:t>
      </w:r>
      <w:r>
        <w:rPr>
          <w:rFonts w:hint="eastAsia" w:ascii="仿宋_GB2312" w:hAnsi="仿宋_GB2312" w:eastAsia="仿宋_GB2312" w:cs="仿宋_GB2312"/>
          <w:b/>
          <w:bCs/>
          <w:color w:val="auto"/>
          <w:sz w:val="32"/>
          <w:szCs w:val="32"/>
          <w:lang w:eastAsia="zh-CN"/>
        </w:rPr>
        <w:t>政府办公厅（室）及相关机构事务</w:t>
      </w:r>
      <w:r>
        <w:rPr>
          <w:rFonts w:hint="eastAsia" w:ascii="仿宋_GB2312" w:hAnsi="仿宋_GB2312" w:eastAsia="仿宋_GB2312" w:cs="仿宋_GB2312"/>
          <w:b/>
          <w:bCs/>
          <w:color w:val="auto"/>
          <w:sz w:val="32"/>
          <w:szCs w:val="32"/>
        </w:rPr>
        <w:t>（款）行政运行（项）。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2.52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2.52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一般公共服务支出（类）统战事务（款）行政运行（项）。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96.54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96.54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一般公共服务支出（类）统战事务（款）</w:t>
      </w:r>
      <w:r>
        <w:rPr>
          <w:rFonts w:hint="eastAsia" w:ascii="仿宋_GB2312" w:hAnsi="仿宋_GB2312" w:eastAsia="仿宋_GB2312" w:cs="仿宋_GB2312"/>
          <w:b/>
          <w:bCs/>
          <w:color w:val="auto"/>
          <w:sz w:val="32"/>
          <w:szCs w:val="32"/>
          <w:lang w:eastAsia="zh-CN"/>
        </w:rPr>
        <w:t>宗教事务</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34.82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34.82</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 社会保障和就业支出（类）行政事业单位离退休（款）  机关事业单位基本养老保险缴费支出（项）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7.74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7.74</w:t>
      </w:r>
      <w:r>
        <w:rPr>
          <w:rFonts w:hint="eastAsia" w:ascii="仿宋_GB2312" w:hAnsi="仿宋_GB2312" w:eastAsia="仿宋_GB2312" w:cs="仿宋_GB2312"/>
          <w:color w:val="auto"/>
          <w:sz w:val="32"/>
          <w:szCs w:val="32"/>
        </w:rPr>
        <w:t>万元，完成年初预算的10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　　</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．医疗卫生与计划生育支出（类）行政事业单位医疗（款） 事业单位医疗（项）。</w:t>
      </w:r>
      <w:r>
        <w:rPr>
          <w:rFonts w:hint="eastAsia" w:ascii="仿宋_GB2312" w:hAnsi="仿宋_GB2312" w:eastAsia="仿宋_GB2312" w:cs="仿宋_GB2312"/>
          <w:color w:val="auto"/>
          <w:sz w:val="32"/>
          <w:szCs w:val="32"/>
        </w:rPr>
        <w:t>年初预算为2.</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万元，支出决算为2.</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万元，完成年初预算的10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napToGrid/>
        <w:spacing w:line="240" w:lineRule="auto"/>
        <w:ind w:firstLine="790" w:firstLineChars="24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.住房保障支出（类）</w:t>
      </w:r>
      <w:r>
        <w:rPr>
          <w:rFonts w:hint="eastAsia" w:ascii="仿宋_GB2312" w:hAnsi="仿宋_GB2312" w:eastAsia="仿宋_GB2312" w:cs="仿宋_GB2312"/>
          <w:b/>
          <w:bCs/>
          <w:color w:val="auto"/>
          <w:sz w:val="32"/>
          <w:szCs w:val="32"/>
          <w:lang w:eastAsia="zh-CN"/>
        </w:rPr>
        <w:t>保障性安居工程支出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农村危房改造</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0.77</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0.77</w:t>
      </w:r>
      <w:r>
        <w:rPr>
          <w:rFonts w:hint="eastAsia" w:ascii="仿宋_GB2312" w:hAnsi="仿宋_GB2312" w:eastAsia="仿宋_GB2312" w:cs="仿宋_GB2312"/>
          <w:color w:val="auto"/>
          <w:sz w:val="32"/>
          <w:szCs w:val="32"/>
        </w:rPr>
        <w:t>万元，完成年初预算的1</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napToGrid/>
        <w:spacing w:line="240" w:lineRule="auto"/>
        <w:ind w:firstLine="790" w:firstLineChars="246"/>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.住房保障支出（类）住房改革支出（款） 住房公积金（项）。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2.05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2.05</w:t>
      </w:r>
      <w:r>
        <w:rPr>
          <w:rFonts w:hint="eastAsia" w:ascii="仿宋_GB2312" w:hAnsi="仿宋_GB2312" w:eastAsia="仿宋_GB2312" w:cs="仿宋_GB2312"/>
          <w:color w:val="auto"/>
          <w:sz w:val="32"/>
          <w:szCs w:val="32"/>
        </w:rPr>
        <w:t>万元，完成年初预算的1</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napToGrid/>
        <w:spacing w:line="24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kinsoku/>
        <w:wordWrap/>
        <w:overflowPunct/>
        <w:topLinePunct w:val="0"/>
        <w:bidi w:val="0"/>
        <w:snapToGrid/>
        <w:spacing w:line="240" w:lineRule="auto"/>
        <w:ind w:firstLine="640" w:firstLineChars="200"/>
        <w:textAlignment w:val="auto"/>
        <w:outlineLvl w:val="2"/>
        <w:rPr>
          <w:rFonts w:hint="default"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2019年度一般公共预算财政拨款基本支出147.03万元。其中：人员经费67.33万元，主要包括：</w:t>
      </w:r>
      <w:r>
        <w:rPr>
          <w:rFonts w:hint="eastAsia" w:ascii="仿宋_GB2312" w:hAnsi="仿宋_GB2312" w:eastAsia="仿宋_GB2312" w:cs="仿宋_GB2312"/>
          <w:sz w:val="32"/>
          <w:szCs w:val="32"/>
        </w:rPr>
        <w:t>基本工资、津贴补贴、奖金、机关事业单位基本养老保险缴费、住房公积金、生活补助、对个人和家庭的补助</w:t>
      </w:r>
      <w:r>
        <w:rPr>
          <w:rFonts w:hint="eastAsia" w:ascii="仿宋_GB2312" w:hAnsi="仿宋_GB2312" w:eastAsia="仿宋_GB2312" w:cs="仿宋_GB2312"/>
          <w:sz w:val="32"/>
          <w:szCs w:val="32"/>
          <w:lang w:val="zh-CN"/>
        </w:rPr>
        <w:t>；公用经费79.7万元，主要包括：</w:t>
      </w:r>
      <w:r>
        <w:rPr>
          <w:rFonts w:hint="eastAsia" w:ascii="仿宋_GB2312" w:hAnsi="仿宋_GB2312" w:eastAsia="仿宋_GB2312" w:cs="仿宋_GB2312"/>
          <w:sz w:val="32"/>
          <w:szCs w:val="32"/>
        </w:rPr>
        <w:t>办公费、印刷费、电费、邮电费、会议费、其他交通费用、其他商品和服务支出</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bidi w:val="0"/>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kinsoku/>
        <w:wordWrap/>
        <w:overflowPunct/>
        <w:topLinePunct w:val="0"/>
        <w:bidi w:val="0"/>
        <w:snapToGrid/>
        <w:spacing w:line="240" w:lineRule="auto"/>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bidi w:val="0"/>
        <w:snapToGrid/>
        <w:spacing w:line="240" w:lineRule="auto"/>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年度“三公”经费财政拨款支出预算为0万元，支出决算为0万元。</w:t>
      </w:r>
    </w:p>
    <w:p>
      <w:pPr>
        <w:keepNext w:val="0"/>
        <w:keepLines w:val="0"/>
        <w:pageBreakBefore w:val="0"/>
        <w:widowControl/>
        <w:kinsoku/>
        <w:wordWrap/>
        <w:overflowPunct/>
        <w:topLinePunct w:val="0"/>
        <w:bidi w:val="0"/>
        <w:snapToGrid/>
        <w:spacing w:line="240" w:lineRule="auto"/>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年度“三公”经费财政拨款支出决算中，因公出国（境）费支出决算0万元；公务用车购置及运行费支出决算0万元；公务接待费支出决算0万元。具体情况如下：</w:t>
      </w:r>
    </w:p>
    <w:p>
      <w:pPr>
        <w:keepNext w:val="0"/>
        <w:keepLines w:val="0"/>
        <w:pageBreakBefore w:val="0"/>
        <w:widowControl/>
        <w:numPr>
          <w:ilvl w:val="0"/>
          <w:numId w:val="2"/>
        </w:numPr>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b w:val="0"/>
          <w:bCs w:val="0"/>
          <w:sz w:val="32"/>
          <w:szCs w:val="32"/>
        </w:rPr>
        <w:t>年初预算为0万元，支出决算为0万元</w:t>
      </w:r>
      <w:r>
        <w:rPr>
          <w:rFonts w:hint="eastAsia" w:ascii="仿宋_GB2312" w:hAnsi="仿宋_GB2312" w:eastAsia="仿宋_GB2312" w:cs="仿宋_GB2312"/>
          <w:b w:val="0"/>
          <w:bCs w:val="0"/>
          <w:sz w:val="32"/>
          <w:szCs w:val="32"/>
          <w:lang w:eastAsia="zh-CN"/>
        </w:rPr>
        <w:t>。</w:t>
      </w:r>
    </w:p>
    <w:p>
      <w:pPr>
        <w:keepNext w:val="0"/>
        <w:keepLines w:val="0"/>
        <w:pageBreakBefore w:val="0"/>
        <w:widowControl/>
        <w:numPr>
          <w:numId w:val="0"/>
        </w:numPr>
        <w:kinsoku/>
        <w:wordWrap/>
        <w:overflowPunct/>
        <w:topLinePunct w:val="0"/>
        <w:bidi w:val="0"/>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初预算为0万元，支出决算为0万元。其中：</w:t>
      </w:r>
    </w:p>
    <w:p>
      <w:pPr>
        <w:keepNext w:val="0"/>
        <w:keepLines w:val="0"/>
        <w:pageBreakBefore w:val="0"/>
        <w:widowControl/>
        <w:kinsoku/>
        <w:wordWrap/>
        <w:overflowPunct/>
        <w:topLinePunct w:val="0"/>
        <w:bidi w:val="0"/>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购置车辆0辆。</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bidi w:val="0"/>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年期末，部门开支财政拨款的公务用车保有量为0辆。</w:t>
      </w:r>
    </w:p>
    <w:p>
      <w:pPr>
        <w:keepNext w:val="0"/>
        <w:keepLines w:val="0"/>
        <w:pageBreakBefore w:val="0"/>
        <w:widowControl/>
        <w:kinsoku/>
        <w:wordWrap/>
        <w:overflowPunct/>
        <w:topLinePunct w:val="0"/>
        <w:bidi w:val="0"/>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初预算为0万元，支出决算为0万元</w:t>
      </w:r>
      <w:bookmarkStart w:id="0" w:name="_GoBack"/>
      <w:bookmarkEnd w:id="0"/>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bidi w:val="0"/>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年共接待国（境）外来访团组0个、来访外宾0人次（不包括陪同人员）。</w:t>
      </w:r>
    </w:p>
    <w:p>
      <w:pPr>
        <w:keepNext w:val="0"/>
        <w:keepLines w:val="0"/>
        <w:pageBreakBefore w:val="0"/>
        <w:widowControl/>
        <w:kinsoku/>
        <w:wordWrap/>
        <w:overflowPunct/>
        <w:topLinePunct w:val="0"/>
        <w:bidi w:val="0"/>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年共接待国内来访团组0个、来宾0人次（不包括陪同人员）。</w:t>
      </w:r>
    </w:p>
    <w:p>
      <w:pPr>
        <w:keepNext w:val="0"/>
        <w:keepLines w:val="0"/>
        <w:pageBreakBefore w:val="0"/>
        <w:widowControl/>
        <w:kinsoku/>
        <w:wordWrap/>
        <w:overflowPunct/>
        <w:topLinePunct w:val="0"/>
        <w:bidi w:val="0"/>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八、预算绩效情况说明</w:t>
      </w:r>
    </w:p>
    <w:p>
      <w:pPr>
        <w:keepNext w:val="0"/>
        <w:keepLines w:val="0"/>
        <w:pageBreakBefore w:val="0"/>
        <w:widowControl/>
        <w:kinsoku/>
        <w:wordWrap/>
        <w:overflowPunct/>
        <w:topLinePunct w:val="0"/>
        <w:bidi w:val="0"/>
        <w:snapToGrid/>
        <w:spacing w:line="240" w:lineRule="auto"/>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keepNext w:val="0"/>
        <w:keepLines w:val="0"/>
        <w:pageBreakBefore w:val="0"/>
        <w:widowControl/>
        <w:kinsoku/>
        <w:wordWrap/>
        <w:overflowPunct/>
        <w:topLinePunct w:val="0"/>
        <w:bidi w:val="0"/>
        <w:snapToGrid/>
        <w:spacing w:line="240" w:lineRule="auto"/>
        <w:ind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根据财政预算管理要求，省委统战部对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年度一般公共预算项目支出全面开展绩效自评，涉及一般公共预算当年财政拨款14</w:t>
      </w:r>
      <w:r>
        <w:rPr>
          <w:rFonts w:hint="eastAsia" w:ascii="仿宋_GB2312" w:hAnsi="仿宋_GB2312" w:eastAsia="仿宋_GB2312" w:cs="仿宋_GB2312"/>
          <w:sz w:val="32"/>
          <w:szCs w:val="32"/>
          <w:lang w:val="en-US" w:eastAsia="zh-CN"/>
        </w:rPr>
        <w:t>7.03</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bidi w:val="0"/>
        <w:snapToGrid/>
        <w:spacing w:line="240" w:lineRule="auto"/>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keepNext w:val="0"/>
        <w:keepLines w:val="0"/>
        <w:pageBreakBefore w:val="0"/>
        <w:widowControl/>
        <w:kinsoku/>
        <w:wordWrap/>
        <w:overflowPunct/>
        <w:topLinePunct w:val="0"/>
        <w:bidi w:val="0"/>
        <w:snapToGrid/>
        <w:spacing w:line="240" w:lineRule="auto"/>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绩效评价结果显示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项目支出绩效情况较为理想，均达到了项目申请时设定的各项绩效目标</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bidi w:val="0"/>
        <w:snapToGrid/>
        <w:spacing w:line="240" w:lineRule="auto"/>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Next w:val="0"/>
        <w:keepLines w:val="0"/>
        <w:pageBreakBefore w:val="0"/>
        <w:kinsoku/>
        <w:wordWrap/>
        <w:overflowPunct/>
        <w:topLinePunct w:val="0"/>
        <w:autoSpaceDE w:val="0"/>
        <w:autoSpaceDN w:val="0"/>
        <w:bidi w:val="0"/>
        <w:adjustRightInd w:val="0"/>
        <w:snapToGrid/>
        <w:spacing w:line="240" w:lineRule="auto"/>
        <w:ind w:firstLine="480" w:firstLineChars="15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绩效评价结果显示，重点绩效情况较为理想，达到了项目申请时设定的各项绩效目标。</w:t>
      </w:r>
    </w:p>
    <w:p>
      <w:pPr>
        <w:keepNext w:val="0"/>
        <w:keepLines w:val="0"/>
        <w:pageBreakBefore w:val="0"/>
        <w:widowControl/>
        <w:kinsoku/>
        <w:wordWrap/>
        <w:overflowPunct/>
        <w:topLinePunct w:val="0"/>
        <w:bidi w:val="0"/>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keepNext w:val="0"/>
        <w:keepLines w:val="0"/>
        <w:pageBreakBefore w:val="0"/>
        <w:widowControl/>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年度政府性基金预算财政拨款支出年初预算为0万元，支出决算为0万元。我部门201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年度没有政府性基金收入，也没有使用政府性基金安排的支出。</w:t>
      </w:r>
    </w:p>
    <w:p>
      <w:pPr>
        <w:keepNext w:val="0"/>
        <w:keepLines w:val="0"/>
        <w:pageBreakBefore w:val="0"/>
        <w:widowControl/>
        <w:kinsoku/>
        <w:wordWrap/>
        <w:overflowPunct/>
        <w:topLinePunct w:val="0"/>
        <w:bidi w:val="0"/>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keepNext w:val="0"/>
        <w:keepLines w:val="0"/>
        <w:pageBreakBefore w:val="0"/>
        <w:widowControl/>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79.7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79.7</w:t>
      </w:r>
      <w:r>
        <w:rPr>
          <w:rFonts w:hint="eastAsia" w:ascii="仿宋_GB2312" w:hAnsi="仿宋_GB2312" w:eastAsia="仿宋_GB2312" w:cs="仿宋_GB2312"/>
          <w:sz w:val="32"/>
          <w:szCs w:val="32"/>
        </w:rPr>
        <w:t>万元。完成年初预算的100%。决算数与年初预算数</w:t>
      </w:r>
      <w:r>
        <w:rPr>
          <w:rFonts w:hint="eastAsia" w:ascii="仿宋_GB2312" w:hAnsi="仿宋_GB2312" w:eastAsia="仿宋_GB2312" w:cs="仿宋_GB2312"/>
          <w:sz w:val="32"/>
          <w:szCs w:val="32"/>
          <w:lang w:eastAsia="zh-CN"/>
        </w:rPr>
        <w:t>无差异。</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bidi w:val="0"/>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年度政府采购支出总额0万元。</w:t>
      </w:r>
    </w:p>
    <w:p>
      <w:pPr>
        <w:keepNext w:val="0"/>
        <w:keepLines w:val="0"/>
        <w:pageBreakBefore w:val="0"/>
        <w:widowControl/>
        <w:kinsoku/>
        <w:wordWrap/>
        <w:overflowPunct/>
        <w:topLinePunct w:val="0"/>
        <w:bidi w:val="0"/>
        <w:snapToGrid/>
        <w:spacing w:line="240" w:lineRule="auto"/>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keepNext w:val="0"/>
        <w:keepLines w:val="0"/>
        <w:pageBreakBefore w:val="0"/>
        <w:widowControl/>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2019年期末，我部门共有车辆4辆，其中：执法执勤用4辆；单位价值50万元以上通用设备0台（套），单位价值100万元以上专用设备0台（套）。</w:t>
      </w:r>
    </w:p>
    <w:p>
      <w:pPr>
        <w:keepNext w:val="0"/>
        <w:keepLines w:val="0"/>
        <w:pageBreakBefore w:val="0"/>
        <w:widowControl/>
        <w:kinsoku/>
        <w:wordWrap/>
        <w:overflowPunct/>
        <w:topLinePunct w:val="0"/>
        <w:bidi w:val="0"/>
        <w:snapToGrid/>
        <w:spacing w:line="240" w:lineRule="auto"/>
        <w:jc w:val="left"/>
        <w:textAlignment w:val="auto"/>
        <w:rPr>
          <w:rFonts w:ascii="楷体_GB2312" w:hAnsi="楷体_GB2312" w:eastAsia="楷体_GB2312" w:cs="楷体_GB2312"/>
          <w:sz w:val="32"/>
          <w:szCs w:val="32"/>
        </w:rPr>
        <w:sectPr>
          <w:pgSz w:w="11906" w:h="16838"/>
          <w:pgMar w:top="1327"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upright="1">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3h/DezAEAAJw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wps:txbx>
                    <wps:bodyPr wrap="none" lIns="0" tIns="0" rIns="0" bIns="0" upright="1">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praMsBAACcAwAADgAAAGRycy9lMm9Eb2MueG1srVPNjtMwEL4j8Q6W&#10;79Rp0aI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4b+pISxy0O/PL92+XHr8vPr2RV&#10;3dzkDvUBaky8D5iahjd+wL2Z/YDOLHxQ0eYvSiIYx/6er/2VQyIiP1qv1usKQwJj8wXx2cPzECG9&#10;ld6SbDQ04gBLX/npPaQxdU7J1Zy/08aUIRr3lwMxs4dl7iPHbKVhP0yC9r49o54eZ99Qh6tOiXnn&#10;sLV5TWYjzsZ+No4h6kOH1JaFF4TXx4QkCrdcYYSdCuPQirppwfJW/HkvWQ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2Ka2j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E338AF"/>
    <w:multiLevelType w:val="singleLevel"/>
    <w:tmpl w:val="F1E338AF"/>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38"/>
    <w:rsid w:val="00041FB2"/>
    <w:rsid w:val="00165025"/>
    <w:rsid w:val="0017585B"/>
    <w:rsid w:val="00292E6D"/>
    <w:rsid w:val="003108B0"/>
    <w:rsid w:val="00323CEA"/>
    <w:rsid w:val="00373372"/>
    <w:rsid w:val="00395614"/>
    <w:rsid w:val="00450DA7"/>
    <w:rsid w:val="0048504B"/>
    <w:rsid w:val="00536528"/>
    <w:rsid w:val="00540236"/>
    <w:rsid w:val="005708CB"/>
    <w:rsid w:val="006060FC"/>
    <w:rsid w:val="006F3813"/>
    <w:rsid w:val="007275D5"/>
    <w:rsid w:val="00766902"/>
    <w:rsid w:val="008B0AF9"/>
    <w:rsid w:val="008D0B85"/>
    <w:rsid w:val="0093688D"/>
    <w:rsid w:val="009525E1"/>
    <w:rsid w:val="009D65AD"/>
    <w:rsid w:val="00A40C43"/>
    <w:rsid w:val="00A41F65"/>
    <w:rsid w:val="00AE0337"/>
    <w:rsid w:val="00B05289"/>
    <w:rsid w:val="00B225CA"/>
    <w:rsid w:val="00B47638"/>
    <w:rsid w:val="00B76ED1"/>
    <w:rsid w:val="00BB56B3"/>
    <w:rsid w:val="00BB7C77"/>
    <w:rsid w:val="00BF66F6"/>
    <w:rsid w:val="00C015D6"/>
    <w:rsid w:val="00C16CCD"/>
    <w:rsid w:val="00C8275E"/>
    <w:rsid w:val="00CA48E4"/>
    <w:rsid w:val="00D824CC"/>
    <w:rsid w:val="00F03598"/>
    <w:rsid w:val="00FF54F7"/>
    <w:rsid w:val="0384577C"/>
    <w:rsid w:val="06876176"/>
    <w:rsid w:val="0F4D430C"/>
    <w:rsid w:val="156F35B8"/>
    <w:rsid w:val="15C2146B"/>
    <w:rsid w:val="1ED64D2A"/>
    <w:rsid w:val="26907531"/>
    <w:rsid w:val="29E93B64"/>
    <w:rsid w:val="310130B5"/>
    <w:rsid w:val="3D6C5BEE"/>
    <w:rsid w:val="40BB2C16"/>
    <w:rsid w:val="424D67E5"/>
    <w:rsid w:val="4A202968"/>
    <w:rsid w:val="57997968"/>
    <w:rsid w:val="591A3A45"/>
    <w:rsid w:val="5BEB6680"/>
    <w:rsid w:val="5D7A475A"/>
    <w:rsid w:val="5DD352BB"/>
    <w:rsid w:val="657978F5"/>
    <w:rsid w:val="662A6BC6"/>
    <w:rsid w:val="717A4B3E"/>
    <w:rsid w:val="72046772"/>
    <w:rsid w:val="732A6E21"/>
    <w:rsid w:val="7E54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unhideWhenUsed/>
    <w:qFormat/>
    <w:uiPriority w:val="99"/>
    <w:pPr>
      <w:snapToGrid w:val="0"/>
      <w:jc w:val="left"/>
    </w:pPr>
    <w:rPr>
      <w:sz w:val="18"/>
    </w:rPr>
  </w:style>
  <w:style w:type="character" w:styleId="8">
    <w:name w:val="footnote reference"/>
    <w:basedOn w:val="7"/>
    <w:unhideWhenUsed/>
    <w:qFormat/>
    <w:uiPriority w:val="99"/>
    <w:rPr>
      <w:vertAlign w:val="superscript"/>
    </w:rPr>
  </w:style>
  <w:style w:type="character" w:customStyle="1" w:styleId="9">
    <w:name w:val="页脚 Char"/>
    <w:link w:val="3"/>
    <w:qFormat/>
    <w:uiPriority w:val="99"/>
    <w:rPr>
      <w:sz w:val="18"/>
      <w:szCs w:val="18"/>
    </w:rPr>
  </w:style>
  <w:style w:type="character" w:customStyle="1" w:styleId="10">
    <w:name w:val="页脚 Char1"/>
    <w:basedOn w:val="7"/>
    <w:link w:val="3"/>
    <w:semiHidden/>
    <w:qFormat/>
    <w:uiPriority w:val="99"/>
    <w:rPr>
      <w:rFonts w:ascii="Calibri" w:hAnsi="Calibri" w:eastAsia="宋体" w:cs="Times New Roman"/>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 w:type="character" w:customStyle="1" w:styleId="12">
    <w:name w:val="脚注文本 Char"/>
    <w:basedOn w:val="7"/>
    <w:link w:val="5"/>
    <w:qFormat/>
    <w:uiPriority w:val="99"/>
    <w:rPr>
      <w:rFonts w:ascii="Calibri" w:hAnsi="Calibri" w:eastAsia="宋体" w:cs="Times New Roman"/>
      <w:sz w:val="18"/>
    </w:rPr>
  </w:style>
  <w:style w:type="character" w:customStyle="1" w:styleId="13">
    <w:name w:val="页眉 Char"/>
    <w:basedOn w:val="7"/>
    <w:link w:val="4"/>
    <w:semiHidden/>
    <w:qFormat/>
    <w:uiPriority w:val="99"/>
    <w:rPr>
      <w:rFonts w:ascii="Calibri" w:hAnsi="Calibri" w:eastAsia="宋体" w:cs="Times New Roman"/>
      <w:sz w:val="18"/>
      <w:szCs w:val="18"/>
    </w:rPr>
  </w:style>
  <w:style w:type="character" w:customStyle="1" w:styleId="14">
    <w:name w:val="font11"/>
    <w:basedOn w:val="7"/>
    <w:qFormat/>
    <w:uiPriority w:val="0"/>
    <w:rPr>
      <w:rFonts w:hint="eastAsia" w:ascii="宋体" w:hAnsi="宋体" w:eastAsia="宋体" w:cs="宋体"/>
      <w:color w:val="000000"/>
      <w:sz w:val="20"/>
      <w:szCs w:val="20"/>
      <w:u w:val="none"/>
    </w:rPr>
  </w:style>
  <w:style w:type="character" w:customStyle="1" w:styleId="15">
    <w:name w:val="font01"/>
    <w:basedOn w:val="7"/>
    <w:qFormat/>
    <w:uiPriority w:val="0"/>
    <w:rPr>
      <w:rFonts w:hint="eastAsia" w:ascii="宋体" w:hAnsi="宋体" w:eastAsia="宋体" w:cs="宋体"/>
      <w:color w:val="000000"/>
      <w:sz w:val="22"/>
      <w:szCs w:val="22"/>
      <w:u w:val="none"/>
    </w:rPr>
  </w:style>
  <w:style w:type="character" w:customStyle="1" w:styleId="16">
    <w:name w:val="font51"/>
    <w:basedOn w:val="7"/>
    <w:qFormat/>
    <w:uiPriority w:val="0"/>
    <w:rPr>
      <w:rFonts w:hint="eastAsia" w:ascii="宋体" w:hAnsi="宋体" w:eastAsia="宋体" w:cs="宋体"/>
      <w:color w:val="000000"/>
      <w:sz w:val="24"/>
      <w:szCs w:val="24"/>
      <w:u w:val="none"/>
    </w:rPr>
  </w:style>
  <w:style w:type="character" w:customStyle="1" w:styleId="17">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1892</Words>
  <Characters>10787</Characters>
  <Lines>89</Lines>
  <Paragraphs>25</Paragraphs>
  <TotalTime>12</TotalTime>
  <ScaleCrop>false</ScaleCrop>
  <LinksUpToDate>false</LinksUpToDate>
  <CharactersWithSpaces>12654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2019-10-28T11:42:00Z</dcterms:created>
  <dc:creator>A</dc:creator>
  <cp:lastModifiedBy>Lenovo</cp:lastModifiedBy>
  <dcterms:modified xsi:type="dcterms:W3CDTF">2020-12-10T03:00:12Z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