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夏邑县行政服务中心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i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i w:val="0"/>
          <w:caps w:val="0"/>
          <w:color w:val="333333"/>
          <w:spacing w:val="0"/>
          <w:kern w:val="0"/>
          <w:sz w:val="44"/>
          <w:szCs w:val="44"/>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第一部分 夏邑县行政服务中心概况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第二部分 夏邑县行政服务中心</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附件：夏邑县行政服务中心</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夏邑县行政服务中心概况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（一）根据夏编〔2017〕1号文件，成立县政务服务管理办公室，主要职责：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1、负责网上政务大厅与实体政务大厅融合工作；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2、负责县、乡镇（街道办事处）、社区（村）三级联动全域一体的政务服务体系建设和政务服务规范化、标准化建设工作；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3、指导和监督考核县直政务服务窗口单位单独建设的办事大厅和乡镇（街道办事处）政务服务中心（便民服务中心）、社区便民服务站建设；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4、负责12345政府服务热线的整合建设和管理工作；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（二）根据夏编〔2002〕83号文件，行政服务中心职责：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1、负责制定行政服务中心的各项规章制度、管理办法并组织实施；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2、负责对服务窗口、工作人员的管理和考核；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3、负责对进入行政服务中心项目的确定、调整，对服务事项及办理情况进行协调、督查；负责联办事项的组织、协调和裁决；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4、负责对行政服务中心及窗口工作人员违规行为的查处；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5、负责各部门行政审批、行政事业性收费等服务事项进大厅情况的监督检查。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夏邑县行政服务中心无二级机构。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纳入本部门</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度部门预算编报范围的仅为夏邑县行政服务中心本级。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夏邑县行政服务中心</w:t>
      </w:r>
      <w:r>
        <w:rPr>
          <w:rFonts w:hint="eastAsia" w:asciiTheme="minorEastAsia" w:hAnsiTheme="minorEastAsia" w:cstheme="minorEastAsia"/>
          <w:b/>
          <w:bCs/>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一、预算收支增加变化情况说明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2020年收入预算为182.4万元，支出预算为182.4万元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其中财政拨款</w:t>
      </w:r>
      <w:r>
        <w:rPr>
          <w:rFonts w:hint="eastAsia" w:asciiTheme="minorEastAsia" w:hAnsiTheme="minorEastAsia" w:cstheme="minorEastAsia"/>
          <w:i w:val="0"/>
          <w:caps w:val="0"/>
          <w:color w:val="333333"/>
          <w:spacing w:val="0"/>
          <w:kern w:val="0"/>
          <w:sz w:val="32"/>
          <w:szCs w:val="32"/>
          <w:shd w:val="clear" w:fill="FFFFFF"/>
          <w:lang w:val="en-US" w:eastAsia="zh-CN" w:bidi="ar"/>
        </w:rPr>
        <w:t>182.4</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万元，较</w:t>
      </w:r>
      <w:r>
        <w:rPr>
          <w:rFonts w:hint="eastAsia" w:asciiTheme="minorEastAsia" w:hAnsiTheme="minorEastAsia" w:cstheme="minorEastAsia"/>
          <w:i w:val="0"/>
          <w:caps w:val="0"/>
          <w:color w:val="333333"/>
          <w:spacing w:val="0"/>
          <w:kern w:val="0"/>
          <w:sz w:val="32"/>
          <w:szCs w:val="32"/>
          <w:shd w:val="clear" w:fill="FFFFFF"/>
          <w:lang w:val="en-US" w:eastAsia="zh-CN" w:bidi="ar"/>
        </w:rPr>
        <w:t>2019年158.3万元增加24.1</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万元，主要是增加</w:t>
      </w:r>
      <w:r>
        <w:rPr>
          <w:rFonts w:hint="eastAsia" w:asciiTheme="minorEastAsia" w:hAnsiTheme="minorEastAsia" w:cstheme="minorEastAsia"/>
          <w:i w:val="0"/>
          <w:caps w:val="0"/>
          <w:color w:val="333333"/>
          <w:spacing w:val="0"/>
          <w:kern w:val="0"/>
          <w:sz w:val="32"/>
          <w:szCs w:val="32"/>
          <w:shd w:val="clear" w:fill="FFFFFF"/>
          <w:lang w:val="en-US" w:eastAsia="zh-CN" w:bidi="ar"/>
        </w:rPr>
        <w:t>行政服务大厅维修费用和物业</w:t>
      </w:r>
      <w:bookmarkStart w:id="0" w:name="_GoBack"/>
      <w:bookmarkEnd w:id="0"/>
      <w:r>
        <w:rPr>
          <w:rFonts w:hint="eastAsia" w:asciiTheme="minorEastAsia" w:hAnsiTheme="minorEastAsia" w:cstheme="minorEastAsia"/>
          <w:i w:val="0"/>
          <w:caps w:val="0"/>
          <w:color w:val="333333"/>
          <w:spacing w:val="0"/>
          <w:kern w:val="0"/>
          <w:sz w:val="32"/>
          <w:szCs w:val="32"/>
          <w:shd w:val="clear" w:fill="FFFFFF"/>
          <w:lang w:val="en-US" w:eastAsia="zh-CN" w:bidi="ar"/>
        </w:rPr>
        <w:t>保洁费支出预算</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财政拨款安排机关运行经费预算</w:t>
      </w:r>
      <w:r>
        <w:rPr>
          <w:rFonts w:hint="eastAsia" w:asciiTheme="minorEastAsia" w:hAnsiTheme="minorEastAsia" w:cstheme="minorEastAsia"/>
          <w:i w:val="0"/>
          <w:caps w:val="0"/>
          <w:color w:val="333333"/>
          <w:spacing w:val="0"/>
          <w:kern w:val="0"/>
          <w:sz w:val="32"/>
          <w:szCs w:val="32"/>
          <w:shd w:val="clear" w:fill="FFFFFF"/>
          <w:lang w:val="en-US" w:eastAsia="zh-CN" w:bidi="ar"/>
        </w:rPr>
        <w:t>10.4</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三公经费支出预算0万元，其中因公出国（境）费0万元，公务接待费0万元，公务用车购置支出为0万元，购置车辆0台，公务用车保有量为0辆，公务用车运行维护费0万元；</w:t>
      </w:r>
      <w:r>
        <w:rPr>
          <w:rFonts w:hint="eastAsia" w:asciiTheme="minorEastAsia" w:hAnsiTheme="minorEastAsia" w:cstheme="minorEastAsia"/>
          <w:i w:val="0"/>
          <w:caps w:val="0"/>
          <w:color w:val="333333"/>
          <w:spacing w:val="0"/>
          <w:kern w:val="0"/>
          <w:sz w:val="32"/>
          <w:szCs w:val="32"/>
          <w:shd w:val="clear" w:fill="FFFFFF"/>
          <w:lang w:val="en-US" w:eastAsia="zh-CN" w:bidi="ar"/>
        </w:rPr>
        <w:t>2019年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三公经费支出预算0万元，其中因公出国（境）费0万元，公务接待费0万元，公务用车购置支出为0万元，购置车辆0台，公务用车保有量为0辆，公务用车运行维护费0万元，</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夏邑县行政服务中心共有车辆0辆，单位价值50万元以上通用设备0台（套），单位价值100万元以上专用设备0台（套）。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2020年度本部门编制了部门整体绩效，并编制5个重点项目预算绩效目标80万元。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73B97"/>
    <w:rsid w:val="2ECB1781"/>
    <w:rsid w:val="4FDF1874"/>
    <w:rsid w:val="586C3F6E"/>
    <w:rsid w:val="798C03A5"/>
    <w:rsid w:val="79A73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2020-07-19T10:06:00Z</dcterms:created>
  <dc:creator>给时间点时间</dc:creator>
  <cp:lastModifiedBy>给时间点时间</cp:lastModifiedBy>
  <dcterms:modified xsi:type="dcterms:W3CDTF">2021-05-30T09:23:30Z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38EDF952A64E473088622D6B0559F746</vt:lpwstr>
  </property>
</Properties>
</file>