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夏邑县经济体制改革委员会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第一部分 夏邑县经济体制改革委员会概况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第二部分 夏邑县经济体制改革委员会</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附件：夏邑县经济体制改革委员会</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rPr>
          <w:rFonts w:hint="eastAsia" w:asciiTheme="minorEastAsia" w:hAnsiTheme="minorEastAsia" w:eastAsiaTheme="minorEastAsia" w:cstheme="minor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夏邑县经济体制改革委员会概况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（一）组织制定夏邑经济体制改革的中长期规划和年度综合改革实施要点，对涉及全局的部门改革方案进行指导和协调，及时向县委、县政府报告经济体制改革中的情况、问题和提出建议。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（二）组织指导综合改革试点乡镇工作，总结推广试点经验。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（三）组织制定全县企事业综合配套改革的政策和方案，研究和推进国有资产管理和经营体制的改革。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（四）会同有关部门研究、制定社会保障改革方案，组织实施社会保障制度和土地管理制度的改革工作。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（五）负责研究经济体制改革理论，配合有关部门进行经济体制改革宣传，组织全县的经济体制改革的培训工作。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（六）会同有关部门研究制定对外开放的政策，协调全县对外开放方面的工作，组织开展人才培训和改革信息的对外交流合作活动。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（七）承办县委、县政府交办的其它事项。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夏邑县经济体制改革委员会根据职责，设置4个职能股室，无二级机构。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纳入本部门</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预算编制范围的单位仅为夏邑县经济体制改革委员会本级，无二级预算单位。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夏邑县经济体制改革委员会</w:t>
      </w:r>
      <w:r>
        <w:rPr>
          <w:rFonts w:hint="eastAsia" w:asciiTheme="minorEastAsia" w:hAnsiTheme="minorEastAsia" w:cstheme="minorEastAsia"/>
          <w:b/>
          <w:bCs/>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预算收支增加变化情况说明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2020年收入预算为53.9万元，支出预算为53.9万元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，其中财政拨款</w:t>
      </w:r>
      <w:r>
        <w:rPr>
          <w:rFonts w:hint="eastAsia" w:asciiTheme="minorEastAsia" w:hAnsiTheme="minorEastAsia" w:cstheme="minorEastAsia"/>
          <w:i w:val="0"/>
          <w:caps w:val="0"/>
          <w:color w:val="333333"/>
          <w:spacing w:val="0"/>
          <w:kern w:val="0"/>
          <w:sz w:val="32"/>
          <w:szCs w:val="32"/>
          <w:shd w:val="clear" w:fill="FFFFFF"/>
          <w:lang w:val="en-US" w:eastAsia="zh-CN" w:bidi="ar"/>
        </w:rPr>
        <w:t>53.9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万元，较</w:t>
      </w:r>
      <w:r>
        <w:rPr>
          <w:rFonts w:hint="eastAsia" w:asciiTheme="minorEastAsia" w:hAnsiTheme="minorEastAsia" w:cstheme="minorEastAsia"/>
          <w:i w:val="0"/>
          <w:caps w:val="0"/>
          <w:color w:val="333333"/>
          <w:spacing w:val="0"/>
          <w:kern w:val="0"/>
          <w:sz w:val="32"/>
          <w:szCs w:val="32"/>
          <w:shd w:val="clear" w:fill="FFFFFF"/>
          <w:lang w:val="en-US" w:eastAsia="zh-CN" w:bidi="ar"/>
        </w:rPr>
        <w:t>2019年54.9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减少1</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万元，主要原因</w:t>
      </w:r>
      <w:r>
        <w:rPr>
          <w:rFonts w:hint="eastAsia" w:asciiTheme="minorEastAsia" w:hAnsiTheme="minorEastAsia" w:cstheme="minorEastAsia"/>
          <w:i w:val="0"/>
          <w:caps w:val="0"/>
          <w:color w:val="333333"/>
          <w:spacing w:val="0"/>
          <w:kern w:val="0"/>
          <w:sz w:val="32"/>
          <w:szCs w:val="32"/>
          <w:shd w:val="clear" w:fill="FFFFFF"/>
          <w:lang w:val="en-US" w:eastAsia="zh-CN" w:bidi="ar"/>
        </w:rPr>
        <w:t>是</w:t>
      </w:r>
      <w:bookmarkStart w:id="0" w:name="_GoBack"/>
      <w:bookmarkEnd w:id="0"/>
      <w:r>
        <w:rPr>
          <w:rFonts w:hint="eastAsia" w:asciiTheme="minorEastAsia" w:hAnsiTheme="minorEastAsia" w:cstheme="minorEastAsia"/>
          <w:i w:val="0"/>
          <w:caps w:val="0"/>
          <w:color w:val="333333"/>
          <w:spacing w:val="0"/>
          <w:kern w:val="0"/>
          <w:sz w:val="32"/>
          <w:szCs w:val="32"/>
          <w:shd w:val="clear" w:fill="FFFFFF"/>
          <w:lang w:val="en-US" w:eastAsia="zh-CN" w:bidi="ar"/>
        </w:rPr>
        <w:t>2019年单位负担养老金按20%预算，2020年按照16%比例预算</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财政拨款安排机关运行经费预算6.6万元。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三公经费支出预算0.9万元，其中因公出国（境）费0万元，公务接待费0万元，公务用车购置支出为0万元，购置车辆0台，公务用车保有量为1辆，公务用车运行维护费0.9万元；</w:t>
      </w:r>
      <w:r>
        <w:rPr>
          <w:rFonts w:hint="eastAsia" w:asciiTheme="minorEastAsia" w:hAnsiTheme="minorEastAsia" w:cstheme="minorEastAsia"/>
          <w:i w:val="0"/>
          <w:caps w:val="0"/>
          <w:color w:val="333333"/>
          <w:spacing w:val="0"/>
          <w:kern w:val="0"/>
          <w:sz w:val="32"/>
          <w:szCs w:val="32"/>
          <w:shd w:val="clear" w:fill="FFFFFF"/>
          <w:lang w:val="en-US" w:eastAsia="zh-CN" w:bidi="ar"/>
        </w:rPr>
        <w:t>2019年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三公经费支出预算0.9万元，其中因公出国（境）费0万元，公务接待费0万元，公务用车购置支出为0万元，购置车辆0台，公务用车保有量为1辆，公务用车运行维护费0.9万元，</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夏邑县经济体制改革委员会共有车辆1辆，单位价值50万元以上通用设备0台（套），单位价值100万元以上专用设备0台（套）。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2020年度本部门编制了部门整体绩效，并编制1个项目预算绩效目标5万元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4A556"/>
    <w:multiLevelType w:val="singleLevel"/>
    <w:tmpl w:val="00D4A5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3532F"/>
    <w:rsid w:val="0633768F"/>
    <w:rsid w:val="20DC3154"/>
    <w:rsid w:val="2B036CBE"/>
    <w:rsid w:val="2E5E52DA"/>
    <w:rsid w:val="42D3532F"/>
    <w:rsid w:val="67F8347C"/>
    <w:rsid w:val="71AD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2020-07-19T09:45:00Z</dcterms:created>
  <dc:creator>给时间点时间</dc:creator>
  <cp:lastModifiedBy>给时间点时间</cp:lastModifiedBy>
  <dcterms:modified xsi:type="dcterms:W3CDTF">2021-05-30T08:58:17Z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EE81BFDA19A7437A991F7BCF985CD2F5</vt:lpwstr>
  </property>
</Properties>
</file>