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夏邑县粮食局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夏邑县粮食局概况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夏邑县粮食局</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附件：夏邑县粮食局</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夏邑县粮食局概况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贯彻执行国家、省、市、县粮食流通和粮油储备的法律、法规和方针、政策；拟订全县粮食流通体制、地方粮油储备管理体制改革方案并组织实施；推动国有粮食企业改革，研究提出现代粮食流通产业发展战略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（二）会同有关部门研究提出全县粮食流通和地方粮油储备中长期规划的建议；承担粮油检测预警、应急责任；指导协调最低收购价粮食等政策性粮食购销、全县军粮供应和粮食产销合作。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负责全县粮食流通监督检查工作。监督检查国家、省、市、县粮食流通、粮油储备有关法律、法规和政策的贯彻落实情况；制定全县粮食流通监督检查制度并组织实施；对粮食收购、储备环节的粮食质量安全和原粮卫生进行监督管理；监督检查粮食经营者从事粮食收购、储运、运输、政策性用量购销活动，以及执行国家粮食流通统计制度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承担县级储备粮油行政管理责任。会同有关部门拟订县级储备粮油规模、总体布局和收购、销售计划；提出动用县级储备粮油原则的建议；按照有关规定、审批县级储备粮代储企业资格；审批县级储备粮油轮换计划并监督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负责粮食流通的行业管理，指导粮食流通的科技进步、技术改造和新技术推广；提出粮食质量标准和粮食收购现场准入标准建议；负责全县粮油收购资格审核和核查以及全社会粮食流通统计工作；开展粮食流通的对外合作与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指导全县粮食系统产业化经营、多种经营、连锁经营、主食厨房工程和行业安全生产工作；拟订粮食系统粮食加工发展规划；指导全县粮油加工行业管理和质量、计量、标准工作；配合有关部门打击粮油商品生产经营中的假冒伪劣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（七）拟订全县粮食现场体系建设与发展规划并组织实施，编制全县粮食流通、仓储、加工设施建设规划；参与管理有关粮食流通设施县级投资项目的论证。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（八）指导全县粮食系统财务和内部审计工作。负责所属事业单位的财务监管和内部审计工作；监管县粮食局所属事业单位的国有资产。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本单位包含二级机构1个，财务结算中心。单位人员编制共计31名，其中，行政、参公及工勤编制31人；在职职工</w:t>
      </w:r>
      <w:r>
        <w:rPr>
          <w:rFonts w:hint="eastAsia" w:asciiTheme="minorEastAsia" w:hAnsiTheme="minorEastAsia" w:cstheme="minorEastAsia"/>
          <w:i w:val="0"/>
          <w:caps w:val="0"/>
          <w:color w:val="333333"/>
          <w:spacing w:val="0"/>
          <w:kern w:val="0"/>
          <w:sz w:val="32"/>
          <w:szCs w:val="32"/>
          <w:shd w:val="clear" w:fill="FFFFFF"/>
          <w:lang w:val="en-US" w:eastAsia="zh-CN" w:bidi="ar"/>
        </w:rPr>
        <w:t>39</w:t>
      </w:r>
      <w:bookmarkStart w:id="0" w:name="_GoBack"/>
      <w:bookmarkEnd w:id="0"/>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人，离退休人员53人。本部门预算为汇总预算，纳入夏邑县粮食局</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年度部门预算编制范围的单位包括：夏邑县粮食局本级和粮食局财务结算中心</w:t>
      </w:r>
      <w:r>
        <w:rPr>
          <w:rFonts w:hint="eastAsia" w:asciiTheme="minorEastAsia" w:hAnsi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夏邑县粮食局</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一、预算收支增加变化情况说明</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 xml:space="preserve">  </w:t>
      </w:r>
      <w:r>
        <w:rPr>
          <w:rFonts w:hint="eastAsia" w:ascii="宋体" w:hAnsi="宋体" w:eastAsia="宋体" w:cs="宋体"/>
          <w:i w:val="0"/>
          <w:caps w:val="0"/>
          <w:color w:val="333333"/>
          <w:spacing w:val="0"/>
          <w:kern w:val="0"/>
          <w:sz w:val="32"/>
          <w:szCs w:val="32"/>
          <w:shd w:val="clear" w:fill="FFFFFF"/>
          <w:lang w:val="en-US" w:eastAsia="zh-CN" w:bidi="ar"/>
        </w:rPr>
        <w:t>2020年收入预算为293.6万元，支出预算为293.6万元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293.6</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w:t>
      </w:r>
      <w:r>
        <w:rPr>
          <w:rFonts w:hint="eastAsia" w:asciiTheme="minorEastAsia" w:hAnsiTheme="minorEastAsia" w:cstheme="minorEastAsia"/>
          <w:i w:val="0"/>
          <w:caps w:val="0"/>
          <w:color w:val="333333"/>
          <w:spacing w:val="0"/>
          <w:kern w:val="0"/>
          <w:sz w:val="32"/>
          <w:szCs w:val="32"/>
          <w:shd w:val="clear" w:fill="FFFFFF"/>
          <w:lang w:val="en-US" w:eastAsia="zh-CN" w:bidi="ar"/>
        </w:rPr>
        <w:t>312.8</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减少</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19.</w:t>
      </w:r>
      <w:r>
        <w:rPr>
          <w:rFonts w:hint="eastAsia" w:asciiTheme="minorEastAsia" w:hAnsiTheme="minorEastAsia" w:cstheme="minorEastAsia"/>
          <w:i w:val="0"/>
          <w:caps w:val="0"/>
          <w:color w:val="333333"/>
          <w:spacing w:val="0"/>
          <w:kern w:val="0"/>
          <w:sz w:val="32"/>
          <w:szCs w:val="32"/>
          <w:shd w:val="clear" w:fill="FFFFFF"/>
          <w:lang w:val="en-US" w:eastAsia="zh-CN" w:bidi="ar"/>
        </w:rPr>
        <w:t>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 xml:space="preserve">万元， </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年预算</w:t>
      </w:r>
      <w:r>
        <w:rPr>
          <w:rFonts w:hint="eastAsia" w:asciiTheme="minorEastAsia" w:hAnsiTheme="minorEastAsia" w:cstheme="minorEastAsia"/>
          <w:i w:val="0"/>
          <w:caps w:val="0"/>
          <w:color w:val="333333"/>
          <w:spacing w:val="0"/>
          <w:kern w:val="0"/>
          <w:sz w:val="32"/>
          <w:szCs w:val="32"/>
          <w:shd w:val="clear" w:fill="FFFFFF"/>
          <w:lang w:val="en-US" w:eastAsia="zh-CN" w:bidi="ar"/>
        </w:rPr>
        <w:t>减少</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原因</w:t>
      </w:r>
      <w:r>
        <w:rPr>
          <w:rFonts w:hint="eastAsia" w:asciiTheme="minorEastAsia" w:hAnsiTheme="minorEastAsia" w:cstheme="minorEastAsia"/>
          <w:i w:val="0"/>
          <w:caps w:val="0"/>
          <w:color w:val="333333"/>
          <w:spacing w:val="0"/>
          <w:kern w:val="0"/>
          <w:sz w:val="32"/>
          <w:szCs w:val="32"/>
          <w:shd w:val="clear" w:fill="FFFFFF"/>
          <w:lang w:val="en-US" w:eastAsia="zh-CN" w:bidi="ar"/>
        </w:rPr>
        <w:t>单位实有人数减少1人，工资等支出相应减少</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年财政拨款安排机关运行经费预算23.</w:t>
      </w:r>
      <w:r>
        <w:rPr>
          <w:rFonts w:hint="eastAsia" w:asciiTheme="minorEastAsia" w:hAnsiTheme="minorEastAsia" w:cstheme="minorEastAsia"/>
          <w:i w:val="0"/>
          <w:caps w:val="0"/>
          <w:color w:val="333333"/>
          <w:spacing w:val="0"/>
          <w:kern w:val="0"/>
          <w:sz w:val="32"/>
          <w:szCs w:val="32"/>
          <w:shd w:val="clear" w:fill="FFFFFF"/>
          <w:lang w:val="en-US" w:eastAsia="zh-CN" w:bidi="ar"/>
        </w:rPr>
        <w:t>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夏邑县粮食局共有车辆0辆，单位价值50万元以上通用设备0台（套），单位价值100万元以上专用设备0台（套）。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A35C0"/>
    <w:rsid w:val="05300311"/>
    <w:rsid w:val="10877DB9"/>
    <w:rsid w:val="241A35C0"/>
    <w:rsid w:val="44AC6CF1"/>
    <w:rsid w:val="4D3E3004"/>
    <w:rsid w:val="686A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2020-07-19T09:46:00Z</dcterms:created>
  <dc:creator>给时间点时间</dc:creator>
  <cp:lastModifiedBy>给时间点时间</cp:lastModifiedBy>
  <dcterms:modified xsi:type="dcterms:W3CDTF">2021-05-30T08:55:36Z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945CF9E4CEB04A6DA6223320143BC74F</vt:lpwstr>
  </property>
</Properties>
</file>