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夏邑县旅游资源开发服务中心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夏邑县旅游资源开发服务中心概况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夏邑县旅游资源开发服务中心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附件：夏邑县旅游资源开发服务中心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1134"/>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夏邑县旅游资源开发服务中心概况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1、贯彻执行国家和省有关旅游事业的法律、法规、标准和政策，制定我省旅游业发展规划、计划。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 负责协调指导旅游资源的保护和开发、利用和建设。会同有关部门管理和指导旅游景点、景区、饭店及其它旅游设施的建设；负责全县旅游接待，负责指导全县旅游经营单位的行业管理工作。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 负责全县旅游业务的呈报、审批及出境旅游业务的管理和监督工作；归口管理旅游涉外事务；根据上级主管部门有关标准，负责全县饭店的初审及评定申报工作；会同有关部门协调旅游交通，指导旅游安全和旅游娱乐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4、管理和指导全县旅游行业培训，管理和指导旅游行业精神文明建设和行业协会的工作。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5、会同有关部门为我县旅游景点及旅游基础设施建设多渠道筹集资金和吸引外资工作。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6、承办县政府和市旅游局交办的其它事项。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根据上述职责，县旅游资源开发服务中心设立一个综合办公室，协助局领导组织协调处理日常工作，负责文秘、信息、信访、机要、保密、档案、财务、后勤服务及内部规章制度建设等。在职职工10人，离退休人员</w:t>
      </w:r>
      <w:r>
        <w:rPr>
          <w:rFonts w:hint="eastAsia" w:asciiTheme="minorEastAsia" w:hAnsiTheme="minorEastAsia" w:cstheme="minorEastAsia"/>
          <w:i w:val="0"/>
          <w:caps w:val="0"/>
          <w:color w:val="333333"/>
          <w:spacing w:val="0"/>
          <w:kern w:val="0"/>
          <w:sz w:val="32"/>
          <w:szCs w:val="32"/>
          <w:shd w:val="clear" w:fill="FFFFFF"/>
          <w:lang w:val="en-US" w:eastAsia="zh-CN" w:bidi="ar"/>
        </w:rPr>
        <w:t>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本部门预算仅为夏邑县旅游资源开发服务中心本级，无二级机构。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夏邑县旅游资源开发服务中心</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一、预算收支增加变化情况说明</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xml:space="preserve">  </w:t>
      </w:r>
      <w:r>
        <w:rPr>
          <w:rFonts w:hint="eastAsia" w:ascii="宋体" w:hAnsi="宋体" w:eastAsia="宋体" w:cs="宋体"/>
          <w:i w:val="0"/>
          <w:caps w:val="0"/>
          <w:color w:val="333333"/>
          <w:spacing w:val="0"/>
          <w:kern w:val="0"/>
          <w:sz w:val="32"/>
          <w:szCs w:val="32"/>
          <w:shd w:val="clear" w:fill="FFFFFF"/>
          <w:lang w:val="en-US" w:eastAsia="zh-CN" w:bidi="ar"/>
        </w:rPr>
        <w:t>2020年收入预算为80万元，支出预算为80万元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80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w:t>
      </w:r>
      <w:r>
        <w:rPr>
          <w:rFonts w:hint="eastAsia" w:asciiTheme="minorEastAsia" w:hAnsiTheme="minorEastAsia" w:cstheme="minorEastAsia"/>
          <w:i w:val="0"/>
          <w:caps w:val="0"/>
          <w:color w:val="333333"/>
          <w:spacing w:val="0"/>
          <w:kern w:val="0"/>
          <w:sz w:val="32"/>
          <w:szCs w:val="32"/>
          <w:shd w:val="clear" w:fill="FFFFFF"/>
          <w:lang w:val="en-US" w:eastAsia="zh-CN" w:bidi="ar"/>
        </w:rPr>
        <w:t>81.2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减少1.2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w:t>
      </w:r>
      <w:r>
        <w:rPr>
          <w:rFonts w:hint="eastAsia" w:asciiTheme="minorEastAsia" w:hAnsiTheme="minorEastAsia" w:cstheme="minorEastAsia"/>
          <w:i w:val="0"/>
          <w:caps w:val="0"/>
          <w:color w:val="333333"/>
          <w:spacing w:val="0"/>
          <w:kern w:val="0"/>
          <w:sz w:val="32"/>
          <w:szCs w:val="32"/>
          <w:shd w:val="clear" w:fill="FFFFFF"/>
          <w:lang w:val="en-US" w:eastAsia="zh-CN" w:bidi="ar"/>
        </w:rPr>
        <w:t>原因是由于人员调动，工资福利支出有稍微变动</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年财政拨款安排机关运行经费预算4.9万元。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6</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与2019年相比增加3万元，原因为：2020年增加了6辆公务用车的预算，公务用车运行维护费增加</w:t>
      </w:r>
      <w:bookmarkStart w:id="0" w:name="_GoBack"/>
      <w:bookmarkEnd w:id="0"/>
      <w:r>
        <w:rPr>
          <w:rFonts w:hint="eastAsia" w:asciiTheme="minorEastAsia" w:hAnsi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夏邑县旅游资源开发服务中心共有车辆</w:t>
      </w:r>
      <w:r>
        <w:rPr>
          <w:rFonts w:hint="eastAsia" w:asciiTheme="minorEastAsia" w:hAnsiTheme="minorEastAsia" w:cstheme="minorEastAsia"/>
          <w:i w:val="0"/>
          <w:caps w:val="0"/>
          <w:color w:val="333333"/>
          <w:spacing w:val="0"/>
          <w:kern w:val="0"/>
          <w:sz w:val="32"/>
          <w:szCs w:val="32"/>
          <w:shd w:val="clear" w:fill="FFFFFF"/>
          <w:lang w:val="en-US" w:eastAsia="zh-CN" w:bidi="ar"/>
        </w:rPr>
        <w:t>6</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2020年度本部门编制了部门整体绩效，并编制项目预算绩效目标18万元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363D9"/>
    <w:rsid w:val="16457A6B"/>
    <w:rsid w:val="25C610DB"/>
    <w:rsid w:val="2BF81509"/>
    <w:rsid w:val="38967C33"/>
    <w:rsid w:val="3F167B2D"/>
    <w:rsid w:val="4890511C"/>
    <w:rsid w:val="48A05454"/>
    <w:rsid w:val="55BD6EDE"/>
    <w:rsid w:val="69136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2020-07-19T09:48:00Z</dcterms:created>
  <dc:creator>给时间点时间</dc:creator>
  <cp:lastModifiedBy>给时间点时间</cp:lastModifiedBy>
  <dcterms:modified xsi:type="dcterms:W3CDTF">2021-06-09T02:00:24Z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84ED317DC67D4578A9BE445150D97EDB</vt:lpwstr>
  </property>
</Properties>
</file>