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color w:val="000000"/>
          <w:sz w:val="44"/>
          <w:szCs w:val="44"/>
        </w:rPr>
      </w:pPr>
      <w:r>
        <w:rPr>
          <w:rFonts w:hint="eastAsia" w:ascii="黑体" w:hAnsi="黑体" w:eastAsia="黑体" w:cs="黑体"/>
          <w:color w:val="000000"/>
          <w:sz w:val="44"/>
          <w:szCs w:val="44"/>
        </w:rPr>
        <w:t>夏邑县人民法院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2020</w:t>
      </w:r>
      <w:r>
        <w:rPr>
          <w:rFonts w:hint="eastAsia" w:ascii="黑体" w:hAnsi="黑体" w:eastAsia="黑体" w:cs="黑体"/>
          <w:color w:val="000000"/>
          <w:sz w:val="44"/>
          <w:szCs w:val="44"/>
        </w:rPr>
        <w:t>年度部门预算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夏邑县人民法院概况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第二部分夏邑县人民法院2020年度部门预算情况说明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附件：夏邑县人民法院2020年度部门预算表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夏邑县人民法院概况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left"/>
        <w:textAlignment w:val="top"/>
        <w:rPr>
          <w:rFonts w:hint="eastAsia" w:ascii="宋体" w:hAnsi="宋体" w:eastAsia="宋体" w:cs="宋体"/>
          <w:b/>
          <w:bCs/>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人民法院是国家审判机关，依法独立行使审判权，上级法院监督和指导下级人民法院的审判工作，其主要职责是：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(一)依法审判本院管辖的民事、行政案件和上级人民法院交由审判的案件;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(二)中级以上法院依法按照审判监督程序审理当事人提出的申诉、申请再审和人民检察院提出抗诉的刑事、民事、行政案件，依法审理减刑、假释案件;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(三)依法受理国家赔偿案件和决定国家赔偿;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(四)上级法院依法对下级人民法院管辖不明的案件指定管辖和审理管辖争议的案件;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(五)依法执行已发生法律效力的判决、裁定以及国家行政机关依法申请执行的案件;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(六)监督、指导下级人民法院的审判工作;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(七)调查研究审判工作中适用法律、执行政策的疑难问题，提出解决问题的办法、意见和司法建议，开展司法统计工作，参与地方立法和综合治理工作;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(八)指导辖区内法院的思想政治、教育培训、法制宣传和队伍建设工作;按照权限管理法官和其他工作人员;协同市机构编制主管部门管理辖区内法院的机构编制工作;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(九)指导辖区内法院的财务、装备、技术、鉴定等工作，并负责有关经费和物质装备的管理工作;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top"/>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(十)负责辖区内法院的纪检监察工作;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(十一)承办其他应由中级人民法院负责的工作。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单位人员编制共计168名，其中，行政、参公及工勤编制102人、事业编制41人，在职职工144人，离退休人员61人。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民法院内设机构17个，分别是办公室、政治处、工会、监察室、立案庭、审监庭、审管办、司法技术鉴定室、后勤服务中心、刑事审判庭、少年审判庭、民事审判一庭、民事审判二庭、民事审判三庭、行政审判庭、执行局、法警队。派出基层法庭5个，分别是李集法庭、王集法庭、会亭法庭、孔庄法庭、济阳法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本部门预算为汇总预算，包含二级机构1个，纳入夏邑县人民法院2020年度部门预算编制范围的单位包括：夏邑县人民法院本级、法院后勤服务中心。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夏邑县人民法院2020年度部门预算情况说明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ind w:firstLine="640" w:firstLineChars="20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2020年收入预算2368.3万元，支出预算2368.3万元。其中财政拨款2368.3万元，较2019年2127.3万元增加241万元；增加主要原因是增加司法辅助劳务派遣人员费用。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2020年财政拨款安排机关运行经费预算132.2万元。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default"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20.7万元，其中因公出国（境）费0万元，公务接待费0万元，公务用车购置支出为0万元，购置车辆0台，公务用车保有量为23辆，公务用车运行维护费20.7万元；2019年三公经费支出预算20.7万元，其中因公出国（境）费0万元，公务接待费0万元，公务用车购置支出为0万元，购置车辆0台，公务用车保有量为23辆，公务用车运行维护费20.7万元，2020年三公经费预算无增减变化。</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夏邑县人民法院共有一般公务用车23辆；单位价值50万元以上通用设备0台（套），单位价值100万元以上专用设备0台（套）。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2020年度本部门编制了部门整体绩效，并编制部门项目预算绩效目标1227万元。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ind w:left="0" w:right="0" w:firstLine="640" w:firstLineChars="200"/>
        <w:jc w:val="left"/>
        <w:textAlignment w:val="top"/>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C0620"/>
    <w:rsid w:val="06F64960"/>
    <w:rsid w:val="1C3F0AEC"/>
    <w:rsid w:val="484C0620"/>
    <w:rsid w:val="4E2F1681"/>
    <w:rsid w:val="4F55299B"/>
    <w:rsid w:val="724566FA"/>
    <w:rsid w:val="7251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2020-07-19T09:53:00Z</dcterms:created>
  <dc:creator>给时间点时间</dc:creator>
  <cp:lastModifiedBy>给时间点时间</cp:lastModifiedBy>
  <dcterms:modified xsi:type="dcterms:W3CDTF">2021-05-30T08:36:45Z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BF4B7655BEC343AF92F6DFF6BC2C3CE4</vt:lpwstr>
  </property>
</Properties>
</file>