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810" w:lineRule="atLeast"/>
        <w:ind w:right="0"/>
        <w:jc w:val="center"/>
        <w:textAlignment w:val="top"/>
        <w:rPr>
          <w:rFonts w:hint="eastAsia" w:ascii="黑体" w:hAnsi="黑体" w:eastAsia="黑体" w:cs="黑体"/>
          <w:i w:val="0"/>
          <w:caps w:val="0"/>
          <w:color w:val="000000"/>
          <w:spacing w:val="0"/>
          <w:sz w:val="44"/>
          <w:szCs w:val="44"/>
          <w:shd w:val="clear" w:fill="FFFFFF"/>
        </w:rPr>
      </w:pPr>
      <w:r>
        <w:rPr>
          <w:rFonts w:hint="eastAsia" w:ascii="黑体" w:hAnsi="黑体" w:eastAsia="黑体" w:cs="黑体"/>
          <w:i w:val="0"/>
          <w:caps w:val="0"/>
          <w:color w:val="000000"/>
          <w:spacing w:val="0"/>
          <w:sz w:val="44"/>
          <w:szCs w:val="44"/>
          <w:shd w:val="clear" w:fill="FFFFFF"/>
        </w:rPr>
        <w:t>夏邑县商务局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810" w:lineRule="atLeast"/>
        <w:ind w:right="0"/>
        <w:jc w:val="center"/>
        <w:textAlignment w:val="top"/>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shd w:val="clear" w:fill="FFFFFF"/>
          <w:lang w:eastAsia="zh-CN"/>
        </w:rPr>
        <w:t>2020年</w:t>
      </w:r>
      <w:r>
        <w:rPr>
          <w:rFonts w:hint="eastAsia" w:ascii="黑体" w:hAnsi="黑体" w:eastAsia="黑体" w:cs="黑体"/>
          <w:i w:val="0"/>
          <w:caps w:val="0"/>
          <w:color w:val="000000"/>
          <w:spacing w:val="0"/>
          <w:sz w:val="44"/>
          <w:szCs w:val="44"/>
          <w:shd w:val="clear" w:fill="FFFFFF"/>
        </w:rPr>
        <w:t>部门预算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目　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第一部分 夏邑县商务局概况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第二部分 夏邑县商务局2020年度部门预算情况说明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附件：夏邑县商务局2020年度部门预算表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十、国有资产占用使用情况表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第一部分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夏邑县商务局概况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center"/>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（一）贯彻落实国家和省市有关国内外贸易和国际、国内经济合作方面的法律、法规及方针政策，拟订我县有关规范性文件。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（二）拟订并组织实施全县商贸流通、对外贸易、国际经济技术合作等商务工作发展战略、规划、年度计划和政策措施，深化商务领域改革，推动全县服务业和经贸产业结构调整。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贯彻落实国家和省市对外开放的战略和方针政策，负责全县对外开放的宏观指导和组织协调，拟订全县对外开放长远规划、相关政策措施；研究推进开放带动主战略实施的长效机制；督促检查对外开放政策措施的落实情况，协调解决对外开放工作中出现的重大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负责全县市场体系建设工作，拟订全县国内贸易中长期发展规划，指导大宗产品批发市场规划和城市商业网点规划、商业体系建设、推进农村市场体系建设，组织实施农村现代流通网络工程，促进城乡市场体系建设和发展；协调推进我县流通制度体系建设，推进全县流通商业结构调整，指导流通企业改革、流通领域节能降耗、商贸服务业和社区商业发展，推动流通标准化和连锁经营、商业特许经营、物流配送等现代流通方式发展，推动流通品牌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（五）拟订并组织实施全县电子商务发展规划和政策措施，大力拓展和深化电子商务应用；推动电子商务服务体系建设，建立电子商务统计和评价体系；规范电子商务经营行为和流通秩序。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承担组织实施全县重要消费品市场调控和重要生产资料流通管理的责任，负责建立健全生活必需品市场供应应急管理机制，监测分析市场运行、商品供求状况，调查分析产品价格信息，进行预测预警和信息引导；按照分工负责重要消费品储备管理和市场调控工作，依法对典当、拍卖、租凭、免税商店、二手车市场、汽车流通和旧货流通业等特殊流通行业进行监测管理；负责研究拟定全县药品流通行业发展规划、政策和相关标准，推进药品流通行业结构调整，指导药品流通企业改革；按有关规定对成品油和酒类等商品的流通进行监督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承担牵头协调整顿和规范全县市场经济秩序工作的责任，拟订全县规范市场运行、流通秩序的政策。推动商务领域信用建设，建立市场诚信公共服务平台；负责建设和管理市场经济秩序举报投诉服务网络；会同有关部门开展打击侵犯知识产权、制售假冒伪劣产品、商业欺诈等扰乱市场秩序行为工作，负责全县商务执法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（八）组织实施重要工业品、原材料和重要农产品进出口总量计划；牵头负责全县出口基地建设工作，指导贸易促进活动和外贸促进体系建设。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负责全县商品进出口管理工作，执行国家和省对外贸易、进出口管制以及鼓励技术和成套设备进出口政策；依法监督全县技术引进、设备进口、国家限制出口技术工作，依法申报两用物项等与国家安全相关的进出口许可证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执行国家和省服务业、服务贸易发展方针、政策，拟订我县相关规划和政策措施；承担商贸服务业（批发、零售、餐饮、住宿、沐浴等）的行业管理工作；会同有关部门制定全县促进商务出口和服务外包发展的规划、政策并组织实施，指导服务贸易基地和服务外包平台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一）负责全县商务系统涉及世界贸易组织相关事务的研究、指导和服务工作；承担组织协调反倾销、反补贴和保障措施及其他与进出口公平贸易相关工作的责任；建立进出口公平贸易预警机制，组织产业损害、反垄断调查，指导协调产业安全应对工作；研究拟定我县反垄断相关政策，指导企业在国外的反垄断应诉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二）拟订全县外商投资政策、改革方案和发展规划并组织实施；依法审核限额内外商（台港澳侨）投资企业设立、变更、终止事项，依法监督检查外商投资企业执行有关法律、法规、规章、合同章程的情况并协调解决有关问题；统筹规范对外招商引资活动；会同有关部门抓好投资环境治理工作，依法受理、处理境内外投资者的建议和投诉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（十三）负责我县各类开发区的宏观管理、政策指导和工作协调。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四）拟订并执行我县对外经济技术合作政策，依法管理和监督我县对外承包工程、对外劳务合作等工作，执行国家有关中国公民出境就业管理政策，牵头负责外派劳务和境外就业人员的权益保护工作，依法申报县内企业对外投资开办企业（金融企业除外）；管理涉及我县多双边无偿援助和赠款（不含财政合作项下外国政府及国际金融组织对中国赠款）等发展合作业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（十五）组织申报、统筹指导并规范管理以夏邑县名义在境内外举办的博览会、展销会、交易会和国际性会议等大型经贸交流活动。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（十六）牵头负责国内经济技术合作和区域性经贸交流活动，负责境内招商引资及统计工作。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（十七）承办县政府交办的其他事项。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单位人员编制共计39名，其中，行政、参公及工勤编制46人；在职职工46人，离退休人员0人。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夏邑县商务局有二级机构2个，信息服务中心和商务稽查大队。本部门预算为汇总预算，纳入预算的单位为：商务局本级、信息服务中心和商务稽查大队。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第二部分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夏邑县商务局2020年度部门预算情况说明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一、预算收支增加变化情况说明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2020年收入预算304万元，支出预算304万元。其中财政拨款304万元，较2019年299.7万元增加4.3万元， 主要是2019年底工资调标，2020年预算在职人员整体工资福利支出有所增加。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二、机关运行经费安排情况说明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2020年财政拨款安排机关运行经费预算15.9万元。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三、“三公”经费增减变化原因说明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三公经费支出预算0.9万元，其中因公出国（境）费0万元，公务接待费0万元，公务用车购置支出为0万元，购置车辆0台，公务用车保有量为1辆，公务用车运行维护费0.9万元；2019年三公经费支出预算0.9万元，其中因公出国（境）费0万元，公务接待费0万元，公务用车购置支出为0万元，购置车辆0台，公务用车保有量为1辆，公务用车运行维护费0.9万元，2020年三公经费预算无增减变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2020年政府采购预算为0万元。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夏邑县商务局共有一般公务用车1辆；单位价值50万元以上通用设备0台（套），单位价值100万元以上专用设备0台（套）。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2020年度本部门编制了部门整体绩效，并编制1个项目预算绩效目标40万元。</w:t>
      </w:r>
    </w:p>
    <w:p>
      <w:pPr>
        <w:keepNext w:val="0"/>
        <w:keepLines w:val="0"/>
        <w:pageBreakBefore w:val="0"/>
        <w:kinsoku/>
        <w:wordWrap/>
        <w:overflowPunct/>
        <w:topLinePunct w:val="0"/>
        <w:autoSpaceDE/>
        <w:autoSpaceDN/>
        <w:bidi w:val="0"/>
        <w:adjustRightInd/>
        <w:snapToGrid/>
        <w:ind w:firstLine="640" w:firstLineChars="200"/>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第三部分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ind w:firstLine="640" w:firstLineChars="200"/>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FD58FA"/>
    <w:rsid w:val="02FD58FA"/>
    <w:rsid w:val="20864ED6"/>
    <w:rsid w:val="416E203E"/>
    <w:rsid w:val="59BD062F"/>
    <w:rsid w:val="72BE25CA"/>
    <w:rsid w:val="74245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2020-07-19T10:14:00Z</dcterms:created>
  <dc:creator>给时间点时间</dc:creator>
  <cp:lastModifiedBy>给时间点时间</cp:lastModifiedBy>
  <dcterms:modified xsi:type="dcterms:W3CDTF">2021-05-26T11:15:09Z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EFE0F18266AE443780A86E747E58D0A5</vt:lpwstr>
  </property>
</Properties>
</file>