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rPr>
        <w:t>中共夏邑县委政法委员会</w:t>
      </w: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中共夏邑县委政法委员会概况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中共夏邑县委政法委员会2020年度部门预算情况说明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附件：中共夏邑县委政法委员会2020年度部门预算表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中共夏邑县委政法委员会概况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(一)根据党路线、方针、政策和县委的部署，统一政法各部门的思想和行动。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(二)对一定时期内的政法工作作出全面部署，并督促贯彻落实。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(三)检查政法部门执行法律、法规和党的方针、政策的情况，结合实际，研究制定严肃执法、落实党的方针、政策的具体措施。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(四)监督政法各部门依法行使职权，指导和协调政法各部门密切配合，督促推动大案要案的查处工作，研究和讨论有争议的重大、疑难案件。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(五)组织、协调全县社会治安综合治理和维护社会稳定工作，推动各项措施的落实。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(六)组织推动全县政法战线的调查研究工作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(七)研究加强政法队伍建设和领导班子建设的措施协助组织部门考察、管理政法部门的领导干部；协助纪检、监察部门查处政法系统干警违法违纪案件，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(八)承办县委、县政府交办的其他事项。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单位人员编制共计193名，其中，行政、参公及工勤编制193人；在职职工</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487人，离退休人员8人。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本部门预算为汇总预算，包含二级机构1个，纳入中共夏邑县委政法委员会2020年度部门预算编制范围的单位包括：中共夏邑县委政法委员会和夏邑县社会治安综合治理委员会办公室。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中共夏邑县委政法委员会2020年度部门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lang w:val="en-US" w:eastAsia="zh-CN"/>
        </w:rPr>
      </w:pPr>
      <w:r>
        <w:rPr>
          <w:rFonts w:hint="eastAsia" w:ascii="宋体" w:hAnsi="宋体" w:eastAsia="宋体" w:cs="宋体"/>
          <w:i w:val="0"/>
          <w:caps w:val="0"/>
          <w:color w:val="333333"/>
          <w:spacing w:val="0"/>
          <w:kern w:val="0"/>
          <w:sz w:val="32"/>
          <w:szCs w:val="32"/>
          <w:shd w:val="clear" w:fill="FFFFFF"/>
          <w:lang w:val="en-US" w:eastAsia="zh-CN" w:bidi="ar"/>
        </w:rPr>
        <w:t>2020年收入预算2532.8万元，其中财政拨款2532.8万元，较2019年1684.7万元增加848.1万元，主要原因是2020年增加县城、交通、农村治安巡防队人员132人的工资福利等支出预算。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2020年财政拨款安排机关运行经费预算50.3万元。</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11.85万元，其中因公出国（境）费0万元，公务接待费0万元，公务用车购置支出为11.85万元，购置车辆1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比2019年增加11.85万元，主要是预算新购买一辆公务用车11.85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2020年政府采购预算为11.85万元。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中共夏邑县委政法委员会共有车辆0辆，其中：一般公务用车0辆。单位价值50万元以上通用设备0台（套），单位价值100万元以上专用设备0台（套）。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2020年度本部门已经编制部门整体绩效目标，编制部门项目预算的绩效目标300万元。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C1"/>
    <w:rsid w:val="00A04FC1"/>
    <w:rsid w:val="0294594A"/>
    <w:rsid w:val="0F947E51"/>
    <w:rsid w:val="298F2845"/>
    <w:rsid w:val="3636411F"/>
    <w:rsid w:val="36CC1D7D"/>
    <w:rsid w:val="3A5552E8"/>
    <w:rsid w:val="42F64857"/>
    <w:rsid w:val="51C62627"/>
    <w:rsid w:val="526353C6"/>
    <w:rsid w:val="64941FD4"/>
    <w:rsid w:val="7A4309DF"/>
    <w:rsid w:val="7AC76904"/>
    <w:rsid w:val="7B54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2020-07-19T10:20:00Z</dcterms:created>
  <dc:creator>给时间点时间</dc:creator>
  <cp:lastModifiedBy>给时间点时间</cp:lastModifiedBy>
  <dcterms:modified xsi:type="dcterms:W3CDTF">2021-05-30T09:51:00Z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950CE29AF68C47A38C24A877E24D1145</vt:lpwstr>
  </property>
</Properties>
</file>