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微软雅黑" w:hAnsi="微软雅黑" w:eastAsia="微软雅黑" w:cs="微软雅黑"/>
          <w:i w:val="0"/>
          <w:iCs w:val="0"/>
          <w:caps w:val="0"/>
          <w:color w:val="000000"/>
          <w:spacing w:val="0"/>
          <w:sz w:val="45"/>
          <w:szCs w:val="45"/>
          <w:shd w:val="clear" w:fill="FFFFFF"/>
        </w:rPr>
      </w:pPr>
      <w:r>
        <w:rPr>
          <w:rFonts w:hint="eastAsia" w:ascii="微软雅黑" w:hAnsi="微软雅黑" w:eastAsia="微软雅黑" w:cs="微软雅黑"/>
          <w:i w:val="0"/>
          <w:iCs w:val="0"/>
          <w:caps w:val="0"/>
          <w:color w:val="000000"/>
          <w:spacing w:val="0"/>
          <w:sz w:val="45"/>
          <w:szCs w:val="45"/>
          <w:shd w:val="clear" w:fill="FFFFFF"/>
        </w:rPr>
        <w:t>中共夏邑县委政法委员会2019年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shd w:val="clear" w:fill="FFFFFF"/>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 w:beforeAutospacing="0" w:after="0" w:afterAutospacing="0" w:line="630" w:lineRule="atLeast"/>
        <w:ind w:left="450" w:right="750" w:firstLine="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"http://www.xiayi.gov.cn/2019/0525/16768.html" \o "分享到微信"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"http://www.xiayi.gov.cn/2019/0525/16768.html" \o "分享到新浪微博"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"http://www.xiayi.gov.cn/2019/0525/16768.html" \o "分享到QQ空间"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instrText xml:space="preserve"> HYPERLINK "http://www.xiayi.gov.cn/2019/0525/16768.html" \o "分享到QQ好友" </w:instrText>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iCs w:val="0"/>
          <w:caps w:val="0"/>
          <w:color w:val="3A8CEB"/>
          <w:spacing w:val="0"/>
          <w:kern w:val="0"/>
          <w:sz w:val="27"/>
          <w:szCs w:val="27"/>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 中共夏邑县委政法委员会概况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 中共夏邑县委政法委员会2019年度部门预算情况说明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附件：中共夏邑县委政法委员会2019年度部门预算表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中共夏邑县委政法委员会概况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(一)根据党路线、方针、政策和县委的部署，统一政法各部门的思想和行动。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(二)对一定时期内的政法工作作出全面部署，并督促贯彻落实。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(三)检查政法部门执行法律、法规和党的方针、政策的情况，结合实际，研究制定严肃执法、落实党的方针、政策的具体措施。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(四)监督政法各部门依法行使职权，指导和协调政法各部门密切配合，督促推动大案要案的查处工作，研究和讨论有争议的重大、疑难案件。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(五)组织、协调全县社会治安综合治理和维护社会稳定工作，推动各项措施的落实。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(六)组织推动全县政法战线的调查研究工作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(七)研究加强政法队伍建设和领导班子建设的措施协助组织部门考察、管理政法部门的领导干部；协助纪检、监察部门查处政法系统干警违法违纪案件，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(八)承办县委、县政府交办的其他事项。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firstLineChars="20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单位人员编制共计181名，其中，行政、参公及工勤编制181人；在职职工490人，离退休人员8人。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本部门预算为汇总预算，包含二级机构1个，纳入中共夏邑县委政法委员会2019年度部门预算编制范围的单位包括：中共夏邑县委政法委员会和夏邑县社会治安综合治理委员会办公室。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中共夏邑县委政法委员会2019年度部门预算情况说明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一、预算收支增加变化情况说明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2019年收入预算1684.1万元，支出预算1684.1万元，其</w:t>
      </w:r>
      <w:bookmarkStart w:id="0" w:name="_GoBack"/>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中财政拨款1684.1万元，较2018年278.7万元增加1405.4万元，主要原因：增加治安巡防队人员345人财政供给，工资福利及其他支出预算增加，2019年在职人员工资、津贴、需缴纳养老保险、医疗保险等各项保险有所增加，项目支出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2019年财政拨款安排机关运行经费预算38.4万元。</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三公经费支出预算0万元，其中因公出国（境）费0万元，公务接待费0万元，公务用车购置支出为0万元，购置车辆0台，公务用车保有量为0辆，公务用车运行维护费0万元；2018年三公经费支出预算0.9万元，其中因公出国（境）费0万元，公务接待费0万元，公务用车购置支出为0万元，购置车辆0台，公务用车保有量为1辆，公务用车运行维护费0.9万元，2019年三公经费预算减少0.9万元，因为处置一辆公务用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2019年政府采购预算为0万元。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firstLineChars="20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中共夏邑县委政法委员会共有车辆0辆，其中：一般公务用车0辆。单位价值50万元以上通用设备0台（套），单位价值100万元以上专用设备0台（套）。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3F3DD9"/>
    <w:multiLevelType w:val="singleLevel"/>
    <w:tmpl w:val="2A3F3DD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27403"/>
    <w:rsid w:val="21DF230F"/>
    <w:rsid w:val="294733B1"/>
    <w:rsid w:val="32827403"/>
    <w:rsid w:val="62CF0FB0"/>
    <w:rsid w:val="671D3E9F"/>
    <w:rsid w:val="69CC62A5"/>
    <w:rsid w:val="70CA74CD"/>
    <w:rsid w:val="7B1061D7"/>
    <w:rsid w:val="7B92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2021-05-19T01:48:00Z</dcterms:created>
  <dc:creator>给时间点时间</dc:creator>
  <cp:lastModifiedBy>给时间点时间</cp:lastModifiedBy>
  <dcterms:modified xsi:type="dcterms:W3CDTF">2021-05-30T09:49:51Z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9F2C3A93E59849A9B4B904F7F51816C8</vt:lpwstr>
  </property>
</Properties>
</file>