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8D" w:rsidRDefault="00A73E6D">
      <w:pPr>
        <w:shd w:val="solid" w:color="FFFFFF" w:fill="auto"/>
        <w:autoSpaceDN w:val="0"/>
        <w:spacing w:line="240" w:lineRule="atLeast"/>
        <w:ind w:firstLine="640"/>
        <w:jc w:val="center"/>
        <w:textAlignment w:val="top"/>
        <w:rPr>
          <w:rFonts w:ascii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2017</w:t>
      </w: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年度夏邑县专项</w:t>
      </w: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转移支付</w:t>
      </w: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分项目</w:t>
      </w:r>
    </w:p>
    <w:p w:rsidR="009B088D" w:rsidRDefault="00A73E6D">
      <w:pPr>
        <w:shd w:val="solid" w:color="FFFFFF" w:fill="auto"/>
        <w:autoSpaceDN w:val="0"/>
        <w:spacing w:line="240" w:lineRule="atLeast"/>
        <w:ind w:firstLine="640"/>
        <w:jc w:val="center"/>
        <w:textAlignment w:val="top"/>
        <w:rPr>
          <w:rFonts w:ascii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情况</w:t>
      </w: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说明</w:t>
      </w:r>
    </w:p>
    <w:p w:rsidR="009B088D" w:rsidRDefault="009B088D">
      <w:pPr>
        <w:shd w:val="solid" w:color="FFFFFF" w:fill="auto"/>
        <w:autoSpaceDN w:val="0"/>
        <w:spacing w:line="240" w:lineRule="atLeast"/>
        <w:ind w:firstLine="640"/>
        <w:jc w:val="center"/>
        <w:textAlignment w:val="top"/>
        <w:rPr>
          <w:rFonts w:ascii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9B088D" w:rsidRDefault="00A73E6D">
      <w:pPr>
        <w:shd w:val="solid" w:color="FFFFFF" w:fill="auto"/>
        <w:autoSpaceDN w:val="0"/>
        <w:spacing w:line="240" w:lineRule="atLeast"/>
        <w:ind w:firstLineChars="200" w:firstLine="540"/>
        <w:textAlignment w:val="top"/>
        <w:rPr>
          <w:rFonts w:ascii="仿宋" w:eastAsia="仿宋" w:hAnsi="仿宋" w:cs="仿宋"/>
          <w:color w:val="333333"/>
          <w:sz w:val="27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年，省对我县</w:t>
      </w:r>
      <w:r w:rsidRPr="00A73E6D">
        <w:rPr>
          <w:rFonts w:ascii="仿宋" w:eastAsia="仿宋" w:hAnsi="仿宋" w:cs="仿宋" w:hint="eastAsia"/>
          <w:bCs/>
          <w:color w:val="333333"/>
          <w:sz w:val="27"/>
          <w:shd w:val="clear" w:color="auto" w:fill="FFFFFF"/>
        </w:rPr>
        <w:t>专项转移支付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95227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万元。具体为：一般公共服务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76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万元，公共安全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1827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万元，教育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10851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万元，科学技术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119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万元，文化体育与传媒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581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万元，社会保障和就业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15551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万元，医疗卫生与计划生育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7767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万元，节能环保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3265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万元，农林水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41699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万元，交通运输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5796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万元，商业服务业等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185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万元，国土海洋气象等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1747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万元，住房保障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5763</w:t>
      </w:r>
      <w:r>
        <w:rPr>
          <w:rFonts w:ascii="仿宋" w:eastAsia="仿宋" w:hAnsi="仿宋" w:cs="仿宋" w:hint="eastAsia"/>
          <w:color w:val="333333"/>
          <w:sz w:val="27"/>
          <w:shd w:val="clear" w:color="auto" w:fill="FFFFFF"/>
        </w:rPr>
        <w:t>万元。</w:t>
      </w:r>
      <w:bookmarkStart w:id="0" w:name="_GoBack"/>
      <w:bookmarkEnd w:id="0"/>
    </w:p>
    <w:p w:rsidR="009B088D" w:rsidRDefault="009B088D"/>
    <w:p w:rsidR="009B088D" w:rsidRDefault="009B088D"/>
    <w:sectPr w:rsidR="009B088D" w:rsidSect="009B08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B854733"/>
    <w:rsid w:val="009B088D"/>
    <w:rsid w:val="00A73E6D"/>
    <w:rsid w:val="5B85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8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53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2019-01-31T07:27:00Z</dcterms:created>
  <dcterms:modified xsi:type="dcterms:W3CDTF">2019-02-13T13:25:00Z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