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line="240" w:lineRule="atLeast"/>
        <w:ind w:left="640" w:firstLine="0"/>
        <w:jc w:val="center"/>
        <w:textAlignment w:val="top"/>
        <w:rPr>
          <w:rFonts w:hint="eastAsia" w:ascii="宋体" w:hAnsi="宋体" w:eastAsia="宋体" w:cs="宋体"/>
          <w:b/>
          <w:bCs/>
          <w:i w:val="0"/>
          <w:color w:val="333333"/>
          <w:sz w:val="44"/>
          <w:szCs w:val="44"/>
          <w:shd w:val="clear" w:color="auto" w:fill="FFFFFF"/>
          <w:lang w:eastAsia="zh-CN"/>
        </w:rPr>
      </w:pPr>
      <w:r>
        <w:rPr>
          <w:rFonts w:hint="eastAsia" w:ascii="宋体" w:hAnsi="宋体" w:cs="宋体"/>
          <w:b/>
          <w:bCs/>
          <w:i w:val="0"/>
          <w:color w:val="333333"/>
          <w:sz w:val="44"/>
          <w:szCs w:val="44"/>
          <w:shd w:val="clear" w:color="auto" w:fill="FFFFFF"/>
          <w:lang w:eastAsia="zh-CN"/>
        </w:rPr>
        <w:t>夏邑县</w:t>
      </w:r>
      <w:r>
        <w:rPr>
          <w:rFonts w:hint="eastAsia" w:ascii="宋体" w:hAnsi="宋体" w:cs="宋体"/>
          <w:b/>
          <w:bCs/>
          <w:i w:val="0"/>
          <w:color w:val="333333"/>
          <w:sz w:val="44"/>
          <w:szCs w:val="44"/>
          <w:shd w:val="clear" w:color="auto" w:fill="FFFFFF"/>
          <w:lang w:val="en-US" w:eastAsia="zh-CN"/>
        </w:rPr>
        <w:t>2017年度</w:t>
      </w:r>
      <w:r>
        <w:rPr>
          <w:rFonts w:hint="eastAsia" w:ascii="宋体" w:hAnsi="宋体" w:eastAsia="宋体" w:cs="宋体"/>
          <w:b/>
          <w:bCs/>
          <w:i w:val="0"/>
          <w:color w:val="333333"/>
          <w:sz w:val="44"/>
          <w:szCs w:val="44"/>
          <w:shd w:val="clear" w:color="auto" w:fill="FFFFFF"/>
          <w:lang w:eastAsia="zh-CN"/>
        </w:rPr>
        <w:t>预算绩效工作开展情况</w:t>
      </w:r>
      <w:r>
        <w:rPr>
          <w:rFonts w:hint="eastAsia" w:ascii="宋体" w:hAnsi="宋体" w:cs="宋体"/>
          <w:b/>
          <w:bCs/>
          <w:i w:val="0"/>
          <w:color w:val="333333"/>
          <w:sz w:val="44"/>
          <w:szCs w:val="44"/>
          <w:shd w:val="clear" w:color="auto" w:fill="FFFFFF"/>
          <w:lang w:eastAsia="zh-CN"/>
        </w:rPr>
        <w:t>说明</w:t>
      </w:r>
    </w:p>
    <w:p>
      <w:pPr>
        <w:shd w:val="solid" w:color="FFFFFF" w:fill="auto"/>
        <w:autoSpaceDN w:val="0"/>
        <w:spacing w:line="240" w:lineRule="atLeast"/>
        <w:ind w:left="640" w:firstLine="0"/>
        <w:jc w:val="center"/>
        <w:textAlignment w:val="top"/>
        <w:rPr>
          <w:rFonts w:hint="eastAsia" w:ascii="宋体" w:hAnsi="宋体" w:eastAsia="宋体" w:cs="宋体"/>
          <w:b/>
          <w:bCs/>
          <w:i w:val="0"/>
          <w:color w:val="333333"/>
          <w:sz w:val="44"/>
          <w:szCs w:val="44"/>
          <w:shd w:val="clear" w:color="auto" w:fill="FFFFFF"/>
          <w:lang w:eastAsia="zh-CN"/>
        </w:rPr>
      </w:pPr>
    </w:p>
    <w:p>
      <w:pPr>
        <w:shd w:val="solid" w:color="FFFFFF" w:fill="auto"/>
        <w:autoSpaceDN w:val="0"/>
        <w:spacing w:line="240" w:lineRule="atLeast"/>
        <w:ind w:firstLine="640"/>
        <w:textAlignment w:val="top"/>
        <w:rPr>
          <w:rFonts w:hint="default" w:ascii="仿宋_GB2312" w:hAnsi="宋体" w:eastAsia="仿宋_GB2312" w:cs="宋体"/>
          <w:color w:val="000000"/>
          <w:sz w:val="32"/>
          <w:szCs w:val="32"/>
        </w:rPr>
      </w:pPr>
      <w:r>
        <w:rPr>
          <w:rFonts w:hint="eastAsia" w:ascii="仿宋" w:hAnsi="仿宋" w:eastAsia="仿宋" w:cs="仿宋"/>
          <w:b w:val="0"/>
          <w:i w:val="0"/>
          <w:color w:val="333333"/>
          <w:sz w:val="32"/>
          <w:szCs w:val="32"/>
          <w:shd w:val="clear" w:color="auto" w:fill="FFFFFF"/>
          <w:lang w:eastAsia="zh-CN"/>
        </w:rPr>
        <w:t>按照深化预算管理制度改革的要求，我县预算绩效工作正在逐步开展。推进绩效目标管理规范化，把绩效目标作为预算执行、绩效评价、绩效问责的重要依据，并逐步推动绩效评价结果应用。</w:t>
      </w:r>
    </w:p>
    <w:p>
      <w:pPr>
        <w:pStyle w:val="2"/>
        <w:widowControl/>
        <w:wordWrap/>
        <w:adjustRightInd/>
        <w:snapToGrid/>
        <w:spacing w:before="0" w:beforeAutospacing="0" w:after="0" w:afterAutospacing="0" w:line="620" w:lineRule="exact"/>
        <w:ind w:left="0" w:leftChars="0" w:right="0" w:firstLine="643" w:firstLineChars="200"/>
        <w:jc w:val="both"/>
        <w:textAlignment w:val="auto"/>
        <w:outlineLvl w:val="9"/>
      </w:pPr>
      <w:r>
        <w:rPr>
          <w:rFonts w:hint="default" w:ascii="仿宋_GB2312" w:hAnsi="宋体" w:eastAsia="仿宋_GB2312" w:cs="宋体"/>
          <w:b/>
          <w:bCs/>
          <w:color w:val="000000"/>
          <w:sz w:val="32"/>
          <w:szCs w:val="32"/>
        </w:rPr>
        <w:t>一是建立健全工作机制。</w:t>
      </w:r>
      <w:r>
        <w:rPr>
          <w:rFonts w:hint="default" w:ascii="仿宋_GB2312" w:hAnsi="宋体" w:eastAsia="仿宋_GB2312" w:cs="宋体"/>
          <w:color w:val="000000"/>
          <w:sz w:val="32"/>
          <w:szCs w:val="32"/>
        </w:rPr>
        <w:t>为了顺利推进预算绩效管理工作实施，财政部门内部建立了相应的工作机制和操作规程，预算科牵头，相关业务科室参与。在具体工作中，预算科负责预算支出绩效考评相关政策的制定，牵头组织项目绩效考评工作，下达项目绩效考评通知，跟踪了解项目绩效考评工作实施情况，做好项目绩效</w:t>
      </w:r>
      <w:r>
        <w:rPr>
          <w:rFonts w:hint="default" w:ascii="仿宋_GB2312" w:hAnsi="MS Gothic" w:eastAsia="仿宋_GB2312" w:cs="仿宋_GB2312"/>
          <w:sz w:val="32"/>
          <w:szCs w:val="28"/>
        </w:rPr>
        <w:t>考评经验总结及交流宣传工作，探索绩效考评结果公示及应用机制，做好相关科室、单位间的协调工作，最后预算科形成预算绩效考评工作总结材料。相关业务科室具体负责本科室对口单位实施项目的绩效考评工作，配合制定考评指标，搜集考评基础信息，做好部门和考评单位之间的沟通协调工作，审核对口管理项目的绩效自评报告并对主管部门出具的绩效考评报告提出意见。</w:t>
      </w:r>
    </w:p>
    <w:p>
      <w:pPr>
        <w:pStyle w:val="2"/>
        <w:widowControl/>
        <w:wordWrap/>
        <w:adjustRightInd/>
        <w:snapToGrid/>
        <w:spacing w:before="0" w:beforeAutospacing="0" w:after="0" w:afterAutospacing="0" w:line="620" w:lineRule="exact"/>
        <w:ind w:left="0" w:leftChars="0" w:right="0" w:firstLine="643" w:firstLineChars="200"/>
        <w:jc w:val="both"/>
        <w:textAlignment w:val="auto"/>
        <w:outlineLvl w:val="9"/>
      </w:pPr>
      <w:r>
        <w:rPr>
          <w:rStyle w:val="4"/>
          <w:rFonts w:hint="default" w:ascii="仿宋_GB2312" w:hAnsi="宋体" w:eastAsia="仿宋_GB2312" w:cs="宋体"/>
          <w:bCs w:val="0"/>
          <w:kern w:val="2"/>
          <w:sz w:val="32"/>
          <w:szCs w:val="32"/>
        </w:rPr>
        <w:t>二是加强完善制度建设。</w:t>
      </w:r>
      <w:r>
        <w:rPr>
          <w:rFonts w:hint="default" w:ascii="仿宋_GB2312" w:hAnsi="宋体" w:eastAsia="仿宋_GB2312" w:cs="宋体"/>
          <w:color w:val="000000"/>
          <w:sz w:val="32"/>
          <w:szCs w:val="32"/>
        </w:rPr>
        <w:t>我</w:t>
      </w:r>
      <w:r>
        <w:rPr>
          <w:rFonts w:hint="eastAsia" w:ascii="仿宋_GB2312" w:hAnsi="宋体" w:eastAsia="仿宋_GB2312" w:cs="宋体"/>
          <w:color w:val="000000"/>
          <w:sz w:val="32"/>
          <w:szCs w:val="32"/>
          <w:lang w:eastAsia="zh-CN"/>
        </w:rPr>
        <w:t>县</w:t>
      </w:r>
      <w:bookmarkStart w:id="0" w:name="_GoBack"/>
      <w:bookmarkEnd w:id="0"/>
      <w:r>
        <w:rPr>
          <w:rFonts w:hint="default" w:ascii="仿宋_GB2312" w:hAnsi="宋体" w:eastAsia="仿宋_GB2312" w:cs="宋体"/>
          <w:color w:val="000000"/>
          <w:sz w:val="32"/>
          <w:szCs w:val="32"/>
        </w:rPr>
        <w:t>出台了《</w:t>
      </w:r>
      <w:r>
        <w:rPr>
          <w:rFonts w:hint="eastAsia" w:ascii="仿宋_GB2312" w:hAnsi="宋体" w:eastAsia="仿宋_GB2312" w:cs="宋体"/>
          <w:color w:val="000000"/>
          <w:sz w:val="32"/>
          <w:szCs w:val="32"/>
          <w:lang w:eastAsia="zh-CN"/>
        </w:rPr>
        <w:t>夏邑县财政预算绩效管理操作细则</w:t>
      </w:r>
      <w:r>
        <w:rPr>
          <w:rFonts w:hint="default" w:ascii="仿宋_GB2312" w:hAnsi="宋体" w:eastAsia="仿宋_GB2312" w:cs="宋体"/>
          <w:color w:val="000000"/>
          <w:sz w:val="32"/>
          <w:szCs w:val="32"/>
        </w:rPr>
        <w:t>》，并结合当年预算绩效管理目标任务，从预算编制源头抓起，进一步落实，不论参评项目涉及资金多少，都要求</w:t>
      </w:r>
      <w:r>
        <w:rPr>
          <w:rFonts w:hint="default" w:ascii="仿宋_GB2312" w:eastAsia="仿宋_GB2312" w:cs="仿宋_GB2312"/>
          <w:sz w:val="32"/>
          <w:szCs w:val="32"/>
        </w:rPr>
        <w:t>立项依据充分、与民生保障和社会发展密切相关、能充分体现部门履行职能的项目要求编制项目绩效目标，进一步强化预算单位绩效意识和支出责任，加快构建</w:t>
      </w:r>
      <w:r>
        <w:rPr>
          <w:rFonts w:hint="eastAsia" w:ascii="仿宋_GB2312" w:eastAsia="仿宋_GB2312" w:cs="仿宋_GB2312"/>
          <w:sz w:val="32"/>
          <w:szCs w:val="32"/>
          <w:lang w:eastAsia="zh-CN"/>
        </w:rPr>
        <w:t>“</w:t>
      </w:r>
      <w:r>
        <w:rPr>
          <w:rFonts w:hint="default" w:ascii="仿宋_GB2312" w:eastAsia="仿宋_GB2312" w:cs="仿宋_GB2312"/>
          <w:sz w:val="32"/>
          <w:szCs w:val="32"/>
        </w:rPr>
        <w:t>预算编制有目标、预算执行有监控、预算完成有评价、评价结果有反馈、反馈结果有运用</w:t>
      </w:r>
      <w:r>
        <w:rPr>
          <w:rFonts w:hint="eastAsia" w:ascii="仿宋_GB2312" w:eastAsia="仿宋_GB2312" w:cs="仿宋_GB2312"/>
          <w:sz w:val="32"/>
          <w:szCs w:val="32"/>
          <w:lang w:eastAsia="zh-CN"/>
        </w:rPr>
        <w:t>”</w:t>
      </w:r>
      <w:r>
        <w:rPr>
          <w:rFonts w:hint="default" w:ascii="仿宋_GB2312" w:eastAsia="仿宋_GB2312" w:cs="仿宋_GB2312"/>
          <w:sz w:val="32"/>
          <w:szCs w:val="32"/>
        </w:rPr>
        <w:t>的预算绩效管理机制。</w:t>
      </w:r>
    </w:p>
    <w:p>
      <w:pPr>
        <w:pStyle w:val="2"/>
        <w:widowControl/>
        <w:wordWrap/>
        <w:adjustRightInd/>
        <w:snapToGrid/>
        <w:spacing w:before="0" w:beforeAutospacing="0" w:after="0" w:afterAutospacing="0" w:line="620" w:lineRule="exact"/>
        <w:ind w:left="0" w:leftChars="0" w:right="0" w:firstLine="643" w:firstLineChars="200"/>
        <w:jc w:val="both"/>
        <w:textAlignment w:val="auto"/>
        <w:outlineLvl w:val="9"/>
        <w:rPr>
          <w:rFonts w:hint="default" w:ascii="仿宋_GB2312" w:eastAsia="仿宋_GB2312" w:cs="仿宋_GB2312"/>
          <w:sz w:val="32"/>
          <w:szCs w:val="32"/>
        </w:rPr>
      </w:pPr>
      <w:r>
        <w:rPr>
          <w:rFonts w:hint="default" w:ascii="仿宋_GB2312" w:eastAsia="仿宋_GB2312" w:cs="仿宋_GB2312"/>
          <w:b/>
          <w:bCs/>
          <w:sz w:val="32"/>
          <w:szCs w:val="32"/>
        </w:rPr>
        <w:t>三是绩效管理</w:t>
      </w:r>
      <w:r>
        <w:rPr>
          <w:rFonts w:hint="eastAsia" w:ascii="仿宋_GB2312" w:eastAsia="仿宋_GB2312" w:cs="仿宋_GB2312"/>
          <w:b/>
          <w:bCs/>
          <w:sz w:val="32"/>
          <w:szCs w:val="32"/>
          <w:lang w:eastAsia="zh-CN"/>
        </w:rPr>
        <w:t>取得成效</w:t>
      </w:r>
      <w:r>
        <w:rPr>
          <w:rFonts w:hint="default" w:ascii="仿宋_GB2312" w:eastAsia="仿宋_GB2312" w:cs="仿宋_GB2312"/>
          <w:b/>
          <w:bCs/>
          <w:sz w:val="32"/>
          <w:szCs w:val="32"/>
        </w:rPr>
        <w:t>。</w:t>
      </w:r>
      <w:r>
        <w:rPr>
          <w:rFonts w:hint="eastAsia" w:ascii="仿宋_GB2312" w:eastAsia="仿宋_GB2312" w:cs="仿宋_GB2312"/>
          <w:sz w:val="32"/>
          <w:szCs w:val="32"/>
        </w:rPr>
        <w:t>完善预算单位财政拨款结转结余资金管理，加大结余资金清理统收力度，完成了</w:t>
      </w:r>
      <w:r>
        <w:rPr>
          <w:rFonts w:hint="eastAsia" w:ascii="仿宋_GB2312" w:eastAsia="仿宋_GB2312" w:cs="仿宋_GB2312"/>
          <w:sz w:val="32"/>
          <w:szCs w:val="32"/>
          <w:lang w:eastAsia="zh-CN"/>
        </w:rPr>
        <w:t>扶贫</w:t>
      </w:r>
      <w:r>
        <w:rPr>
          <w:rFonts w:hint="eastAsia" w:ascii="仿宋_GB2312" w:eastAsia="仿宋_GB2312" w:cs="仿宋_GB2312"/>
          <w:sz w:val="32"/>
          <w:szCs w:val="32"/>
        </w:rPr>
        <w:t>工程预算重点项目绩效目标考评，共涉及资金</w:t>
      </w:r>
      <w:r>
        <w:rPr>
          <w:rFonts w:hint="eastAsia" w:ascii="仿宋_GB2312" w:eastAsia="仿宋_GB2312" w:cs="仿宋_GB2312"/>
          <w:sz w:val="32"/>
          <w:szCs w:val="32"/>
          <w:lang w:val="en-US" w:eastAsia="zh-CN"/>
        </w:rPr>
        <w:t>50826万</w:t>
      </w:r>
      <w:r>
        <w:rPr>
          <w:rFonts w:hint="eastAsia" w:ascii="仿宋_GB2312" w:eastAsia="仿宋_GB2312" w:cs="仿宋_GB2312"/>
          <w:sz w:val="32"/>
          <w:szCs w:val="32"/>
        </w:rPr>
        <w:t>元</w:t>
      </w:r>
      <w:r>
        <w:rPr>
          <w:rFonts w:hint="eastAsia" w:ascii="仿宋_GB2312" w:eastAsia="仿宋_GB2312" w:cs="仿宋_GB2312"/>
          <w:sz w:val="32"/>
          <w:szCs w:val="32"/>
          <w:lang w:eastAsia="zh-CN"/>
        </w:rPr>
        <w:t>，涉及</w:t>
      </w:r>
      <w:r>
        <w:rPr>
          <w:rFonts w:hint="default" w:ascii="仿宋_GB2312" w:eastAsia="仿宋_GB2312" w:cs="仿宋_GB2312"/>
          <w:sz w:val="32"/>
          <w:szCs w:val="32"/>
        </w:rPr>
        <w:t>秸秆禁烧和综合利用专项、农村饮水安全工程、农村道路畅通工程市级以奖代补、美好乡村建设项目等项目，项目支出较好地完成了既定目标，取得了良好的经济与社会效益。</w:t>
      </w:r>
    </w:p>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2019-01-30T08:50:00Z</dcterms:created>
  <dc:creator>Administrator</dc:creator>
  <cp:lastModifiedBy>Administrator</cp:lastModifiedBy>
  <dcterms:modified xsi:type="dcterms:W3CDTF">2019-01-30T12:34:25Z</dcterms:modified>
  <dc:title>夏邑县2017年度预算绩效工作开展情况说明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