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夏邑县“万村通客车提质工程”候车亭及站名牌项目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  <w:t>竞争性谈判结果公告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 河南呈祥工程咨询有限公司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受</w:t>
      </w:r>
      <w:r>
        <w:rPr>
          <w:rFonts w:hint="eastAsia" w:ascii="宋体" w:hAnsi="宋体"/>
          <w:color w:val="000000"/>
          <w:sz w:val="24"/>
          <w:lang w:eastAsia="zh-CN"/>
        </w:rPr>
        <w:t>夏邑县道路运输管理局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的委</w:t>
      </w:r>
      <w:r>
        <w:rPr>
          <w:rFonts w:hint="default" w:ascii="宋体" w:hAnsi="宋体"/>
          <w:color w:val="000000"/>
          <w:sz w:val="24"/>
          <w:lang w:val="en-US" w:eastAsia="zh-CN"/>
        </w:rPr>
        <w:t>托</w:t>
      </w:r>
      <w:r>
        <w:rPr>
          <w:rFonts w:hint="eastAsia" w:ascii="宋体" w:hAnsi="宋体"/>
          <w:color w:val="000000"/>
          <w:sz w:val="24"/>
          <w:lang w:eastAsia="zh-CN"/>
        </w:rPr>
        <w:t>，拟对</w:t>
      </w:r>
      <w:r>
        <w:rPr>
          <w:rFonts w:hint="eastAsia" w:ascii="宋体" w:hAnsi="宋体"/>
          <w:color w:val="000000"/>
          <w:sz w:val="24"/>
          <w:lang w:val="en-US" w:eastAsia="zh-CN"/>
        </w:rPr>
        <w:t>夏邑县“万村通客车提质工程”候车亭及站名牌项目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进行竞争性谈判采购，按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规定程序进行开标、评标等工作，现就本次结果公布如下：</w:t>
      </w:r>
    </w:p>
    <w:p>
      <w:pPr>
        <w:spacing w:before="312" w:beforeLines="100" w:line="360" w:lineRule="auto"/>
        <w:jc w:val="both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1</w:t>
      </w:r>
      <w:r>
        <w:rPr>
          <w:rFonts w:ascii="宋体" w:hAnsi="宋体"/>
          <w:b/>
          <w:bCs/>
          <w:color w:val="000000"/>
          <w:sz w:val="24"/>
        </w:rPr>
        <w:t>、项目名称及编号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</w:rPr>
        <w:t>1.1</w:t>
      </w:r>
      <w:r>
        <w:rPr>
          <w:rFonts w:ascii="宋体" w:hAnsi="宋体"/>
          <w:color w:val="000000"/>
          <w:sz w:val="24"/>
        </w:rPr>
        <w:t>项目名称：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夏邑县“万村通客车提质工程”候车亭及站名牌项目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1.2采购编号：</w:t>
      </w:r>
      <w:r>
        <w:rPr>
          <w:rFonts w:hint="eastAsia" w:ascii="宋体" w:hAnsi="宋体"/>
          <w:color w:val="000000"/>
          <w:sz w:val="24"/>
          <w:lang w:val="en-US" w:eastAsia="zh-CN"/>
        </w:rPr>
        <w:t>夏财采购</w:t>
      </w:r>
      <w:r>
        <w:rPr>
          <w:rFonts w:hint="eastAsia" w:ascii="宋体" w:hAnsi="宋体"/>
          <w:color w:val="000000"/>
          <w:sz w:val="24"/>
        </w:rPr>
        <w:t>【2019】</w:t>
      </w:r>
      <w:r>
        <w:rPr>
          <w:rFonts w:hint="eastAsia" w:ascii="宋体" w:hAnsi="宋体"/>
          <w:color w:val="000000"/>
          <w:sz w:val="24"/>
          <w:lang w:val="en-US" w:eastAsia="zh-CN"/>
        </w:rPr>
        <w:t>464</w:t>
      </w:r>
      <w:r>
        <w:rPr>
          <w:rFonts w:hint="eastAsia" w:ascii="宋体" w:hAnsi="宋体"/>
          <w:color w:val="000000"/>
          <w:sz w:val="24"/>
        </w:rPr>
        <w:t xml:space="preserve">号 </w:t>
      </w:r>
    </w:p>
    <w:p>
      <w:pPr>
        <w:widowControl/>
        <w:shd w:val="clear" w:color="auto" w:fill="FFFFFF"/>
        <w:spacing w:line="380" w:lineRule="exact"/>
        <w:ind w:left="482" w:hanging="482" w:hangingChars="200"/>
        <w:jc w:val="left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</w:rPr>
        <w:t>2、</w:t>
      </w:r>
      <w:r>
        <w:rPr>
          <w:rFonts w:ascii="宋体" w:hAnsi="宋体"/>
          <w:b/>
          <w:bCs/>
          <w:color w:val="000000"/>
          <w:sz w:val="24"/>
        </w:rPr>
        <w:t>项目简要说明</w:t>
      </w:r>
      <w:r>
        <w:rPr>
          <w:rFonts w:ascii="宋体" w:hAnsi="宋体"/>
          <w:b/>
          <w:bCs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2.1</w:t>
      </w:r>
      <w:r>
        <w:rPr>
          <w:rFonts w:ascii="宋体" w:hAnsi="宋体"/>
          <w:color w:val="000000"/>
          <w:sz w:val="24"/>
        </w:rPr>
        <w:t>项目实施地点：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夏邑县境内。</w:t>
      </w:r>
    </w:p>
    <w:p>
      <w:pPr>
        <w:widowControl/>
        <w:shd w:val="clear" w:color="auto" w:fill="FFFFFF"/>
        <w:spacing w:line="38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2.2控制价</w:t>
      </w:r>
      <w:r>
        <w:rPr>
          <w:rFonts w:ascii="宋体" w:hAnsi="宋体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  <w:lang w:val="en-US" w:eastAsia="zh-CN"/>
        </w:rPr>
        <w:t>629248.9元</w:t>
      </w:r>
    </w:p>
    <w:p>
      <w:pPr>
        <w:widowControl/>
        <w:shd w:val="clear" w:color="auto" w:fill="FFFFFF"/>
        <w:spacing w:line="380" w:lineRule="exact"/>
        <w:ind w:left="479" w:leftChars="228" w:firstLine="0" w:firstLineChars="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  <w:highlight w:val="none"/>
        </w:rPr>
        <w:t>2.3</w:t>
      </w:r>
      <w:r>
        <w:rPr>
          <w:rFonts w:ascii="宋体" w:hAnsi="宋体"/>
          <w:color w:val="auto"/>
          <w:sz w:val="24"/>
          <w:highlight w:val="none"/>
        </w:rPr>
        <w:t>计 划 工 期：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10</w:t>
      </w:r>
      <w:r>
        <w:rPr>
          <w:rFonts w:hint="eastAsia" w:ascii="宋体" w:hAnsi="宋体"/>
          <w:color w:val="auto"/>
          <w:sz w:val="24"/>
          <w:highlight w:val="none"/>
        </w:rPr>
        <w:t>日历天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2.4</w:t>
      </w:r>
      <w:r>
        <w:rPr>
          <w:rFonts w:ascii="宋体" w:hAnsi="宋体"/>
          <w:color w:val="000000"/>
          <w:sz w:val="24"/>
        </w:rPr>
        <w:t>工 程 质 量：合格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2.5</w:t>
      </w:r>
      <w:r>
        <w:rPr>
          <w:rFonts w:ascii="宋体" w:hAnsi="宋体"/>
          <w:color w:val="000000"/>
          <w:sz w:val="24"/>
        </w:rPr>
        <w:t>资 金 来 源：</w:t>
      </w:r>
      <w:r>
        <w:rPr>
          <w:rFonts w:hint="eastAsia" w:ascii="宋体" w:hAnsi="宋体"/>
          <w:color w:val="000000"/>
          <w:sz w:val="24"/>
        </w:rPr>
        <w:t>财政资金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2.6</w:t>
      </w:r>
      <w:r>
        <w:rPr>
          <w:rFonts w:ascii="宋体" w:hAnsi="宋体"/>
          <w:color w:val="000000"/>
          <w:sz w:val="24"/>
        </w:rPr>
        <w:t>采 购 形 式：竞争性谈判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2.7</w:t>
      </w:r>
      <w:r>
        <w:rPr>
          <w:rFonts w:ascii="宋体" w:hAnsi="宋体"/>
          <w:color w:val="000000"/>
          <w:sz w:val="24"/>
        </w:rPr>
        <w:t>标 段 划 分：</w:t>
      </w:r>
      <w:r>
        <w:rPr>
          <w:rFonts w:hint="eastAsia" w:ascii="宋体" w:hAnsi="宋体"/>
          <w:color w:val="000000"/>
          <w:sz w:val="24"/>
        </w:rPr>
        <w:t>一</w:t>
      </w:r>
      <w:r>
        <w:rPr>
          <w:rFonts w:ascii="宋体" w:hAnsi="宋体"/>
          <w:color w:val="000000"/>
          <w:sz w:val="24"/>
        </w:rPr>
        <w:t>个</w:t>
      </w:r>
      <w:r>
        <w:rPr>
          <w:rFonts w:hint="eastAsia" w:ascii="宋体" w:hAnsi="宋体"/>
          <w:color w:val="000000"/>
          <w:sz w:val="24"/>
        </w:rPr>
        <w:t>包</w:t>
      </w:r>
      <w:r>
        <w:rPr>
          <w:rFonts w:ascii="宋体" w:hAnsi="宋体"/>
          <w:color w:val="000000"/>
          <w:sz w:val="24"/>
        </w:rPr>
        <w:t>段</w:t>
      </w:r>
      <w:r>
        <w:rPr>
          <w:rFonts w:ascii="宋体" w:hAnsi="宋体"/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2.8</w:t>
      </w:r>
      <w:r>
        <w:rPr>
          <w:rFonts w:ascii="宋体" w:hAnsi="宋体"/>
          <w:color w:val="000000"/>
          <w:sz w:val="24"/>
        </w:rPr>
        <w:t>采 购 内 容：</w:t>
      </w:r>
      <w:r>
        <w:rPr>
          <w:rFonts w:hint="eastAsia" w:ascii="宋体" w:hAnsi="宋体"/>
          <w:color w:val="000000"/>
          <w:sz w:val="24"/>
          <w:lang w:val="en-US" w:eastAsia="zh-CN"/>
        </w:rPr>
        <w:t>30个候车亭、100个站名牌</w:t>
      </w:r>
      <w:r>
        <w:rPr>
          <w:rFonts w:hint="eastAsia" w:ascii="宋体" w:hAnsi="宋体"/>
          <w:color w:val="000000"/>
          <w:sz w:val="24"/>
        </w:rPr>
        <w:t>（具体详见谈判文件、清单内全部内容）</w:t>
      </w:r>
      <w:r>
        <w:rPr>
          <w:rFonts w:ascii="宋体" w:hAnsi="宋体"/>
          <w:color w:val="000000"/>
          <w:sz w:val="24"/>
        </w:rPr>
        <w:t>。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、公告发布媒体及日期：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78" w:firstLineChars="406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发布媒体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：</w:t>
      </w:r>
      <w:r>
        <w:rPr>
          <w:rFonts w:hint="eastAsia" w:ascii="宋体" w:hAnsi="宋体"/>
          <w:sz w:val="24"/>
          <w:highlight w:val="none"/>
          <w:lang w:eastAsia="zh-CN"/>
        </w:rPr>
        <w:t>《</w:t>
      </w:r>
      <w:r>
        <w:rPr>
          <w:rFonts w:hint="eastAsia" w:ascii="宋体" w:hAnsi="宋体"/>
          <w:sz w:val="24"/>
          <w:highlight w:val="none"/>
        </w:rPr>
        <w:t>商丘市政府采购网</w:t>
      </w:r>
      <w:r>
        <w:rPr>
          <w:rFonts w:hint="eastAsia" w:ascii="宋体" w:hAnsi="宋体"/>
          <w:sz w:val="24"/>
          <w:highlight w:val="none"/>
          <w:lang w:eastAsia="zh-CN"/>
        </w:rPr>
        <w:t>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964" w:firstLineChars="4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发布日期：</w:t>
      </w:r>
      <w:r>
        <w:rPr>
          <w:rFonts w:hint="eastAsia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18</w:t>
      </w:r>
      <w:r>
        <w:rPr>
          <w:rFonts w:hint="eastAsia" w:ascii="宋体" w:hAnsi="宋体" w:cs="宋体"/>
          <w:color w:val="000000"/>
          <w:kern w:val="0"/>
          <w:sz w:val="24"/>
        </w:rPr>
        <w:t>日至201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12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日（法定公休日、法定节假日除外），每日上午8时00分至12时00分 ；下午1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0分至1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</w:t>
      </w:r>
      <w:r>
        <w:rPr>
          <w:rFonts w:hint="eastAsia" w:hAnsi="宋体"/>
          <w:color w:val="auto"/>
          <w:sz w:val="24"/>
          <w:szCs w:val="24"/>
          <w:shd w:val="clear" w:color="auto" w:fill="FFFFFF"/>
        </w:rPr>
        <w:t>（北京时间）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、竞争性谈判信息：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240" w:firstLineChars="100"/>
        <w:textAlignment w:val="auto"/>
        <w:rPr>
          <w:rFonts w:hint="default" w:hAnsi="宋体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竞争性谈判时间：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/>
          <w:color w:val="000000"/>
          <w:sz w:val="24"/>
          <w:szCs w:val="24"/>
          <w:shd w:val="clear" w:color="auto" w:fill="FFFFFF"/>
        </w:rPr>
        <w:t>9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color w:val="000000"/>
          <w:sz w:val="24"/>
          <w:szCs w:val="24"/>
          <w:shd w:val="clear" w:color="auto" w:fill="FFFFFF"/>
          <w:lang w:val="en-US" w:eastAsia="zh-CN"/>
        </w:rPr>
        <w:t>12月24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竞争性谈判地点：</w:t>
      </w:r>
      <w:r>
        <w:rPr>
          <w:rFonts w:hint="eastAsia" w:ascii="宋体" w:hAnsi="宋体" w:eastAsia="宋体"/>
          <w:color w:val="000000"/>
          <w:sz w:val="24"/>
          <w:szCs w:val="22"/>
          <w:lang w:val="en-US" w:eastAsia="zh-CN"/>
        </w:rPr>
        <w:t>商丘市</w:t>
      </w:r>
      <w:r>
        <w:rPr>
          <w:rFonts w:hint="eastAsia" w:ascii="宋体" w:hAnsi="宋体"/>
          <w:color w:val="auto"/>
          <w:sz w:val="24"/>
          <w:lang w:val="en-US" w:eastAsia="zh-CN"/>
        </w:rPr>
        <w:t>淮河路与帝和路交叉口新城国际20号楼1802室。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240" w:firstLineChars="100"/>
        <w:textAlignment w:val="auto"/>
        <w:rPr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谈判成员：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陈法印、黄强、代军利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、竞争性谈判结果：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</w:rPr>
        <w:t>人：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河南中淼建设工程有限公司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成交报价：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628000.00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大写：陆拾贰万捌仟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元整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  <w:t>联系方式</w:t>
      </w:r>
    </w:p>
    <w:p>
      <w:pPr>
        <w:pStyle w:val="11"/>
        <w:tabs>
          <w:tab w:val="left" w:pos="960"/>
        </w:tabs>
        <w:spacing w:before="89" w:line="343" w:lineRule="auto"/>
        <w:ind w:left="0" w:right="1065" w:firstLine="228" w:firstLineChars="100"/>
        <w:rPr>
          <w:rFonts w:hint="eastAsia"/>
          <w:color w:val="000000"/>
          <w:spacing w:val="-6"/>
          <w:sz w:val="24"/>
        </w:rPr>
      </w:pPr>
      <w:r>
        <w:rPr>
          <w:rFonts w:hint="eastAsia"/>
          <w:color w:val="000000"/>
          <w:spacing w:val="-6"/>
          <w:sz w:val="24"/>
          <w:lang w:val="en-US"/>
        </w:rPr>
        <w:t>采 购</w:t>
      </w:r>
      <w:r>
        <w:rPr>
          <w:rFonts w:hint="eastAsia"/>
          <w:color w:val="000000"/>
          <w:spacing w:val="-6"/>
          <w:sz w:val="24"/>
        </w:rPr>
        <w:t xml:space="preserve"> 人：</w:t>
      </w:r>
      <w:r>
        <w:rPr>
          <w:rFonts w:hint="eastAsia" w:cs="宋体"/>
          <w:b w:val="0"/>
          <w:bCs w:val="0"/>
          <w:color w:val="000000"/>
          <w:sz w:val="24"/>
          <w:szCs w:val="24"/>
          <w:lang w:val="en-US" w:eastAsia="zh-CN"/>
        </w:rPr>
        <w:t>夏邑县道路运输管理局</w:t>
      </w:r>
      <w:r>
        <w:rPr>
          <w:rFonts w:hint="eastAsia"/>
          <w:color w:val="000000"/>
          <w:spacing w:val="-6"/>
          <w:sz w:val="24"/>
        </w:rPr>
        <w:t>     </w:t>
      </w:r>
    </w:p>
    <w:p>
      <w:pPr>
        <w:pStyle w:val="11"/>
        <w:tabs>
          <w:tab w:val="left" w:pos="960"/>
        </w:tabs>
        <w:spacing w:before="89" w:line="343" w:lineRule="auto"/>
        <w:ind w:left="0" w:right="1065" w:firstLine="228" w:firstLineChars="100"/>
        <w:rPr>
          <w:rFonts w:hint="default" w:eastAsia="宋体"/>
          <w:color w:val="000000"/>
          <w:spacing w:val="-6"/>
          <w:sz w:val="24"/>
          <w:lang w:val="en-US" w:eastAsia="zh-CN"/>
        </w:rPr>
      </w:pPr>
      <w:r>
        <w:rPr>
          <w:rFonts w:hint="eastAsia"/>
          <w:color w:val="000000"/>
          <w:spacing w:val="-6"/>
          <w:sz w:val="24"/>
        </w:rPr>
        <w:t>联</w:t>
      </w:r>
      <w:r>
        <w:rPr>
          <w:rFonts w:hint="eastAsia"/>
          <w:color w:val="000000"/>
          <w:spacing w:val="-6"/>
          <w:sz w:val="24"/>
          <w:lang w:val="en-US"/>
        </w:rPr>
        <w:t xml:space="preserve"> </w:t>
      </w:r>
      <w:r>
        <w:rPr>
          <w:rFonts w:hint="eastAsia"/>
          <w:color w:val="000000"/>
          <w:spacing w:val="-6"/>
          <w:sz w:val="24"/>
        </w:rPr>
        <w:t>系</w:t>
      </w:r>
      <w:r>
        <w:rPr>
          <w:rFonts w:hint="eastAsia"/>
          <w:color w:val="000000"/>
          <w:spacing w:val="-6"/>
          <w:sz w:val="24"/>
          <w:lang w:val="en-US"/>
        </w:rPr>
        <w:t xml:space="preserve"> </w:t>
      </w:r>
      <w:r>
        <w:rPr>
          <w:rFonts w:hint="eastAsia"/>
          <w:color w:val="000000"/>
          <w:spacing w:val="-6"/>
          <w:sz w:val="24"/>
        </w:rPr>
        <w:t>人：</w:t>
      </w:r>
      <w:r>
        <w:rPr>
          <w:rFonts w:hint="eastAsia"/>
          <w:color w:val="000000"/>
          <w:spacing w:val="-6"/>
          <w:sz w:val="24"/>
          <w:lang w:val="en-US" w:eastAsia="zh-CN"/>
        </w:rPr>
        <w:t>代先生</w:t>
      </w:r>
    </w:p>
    <w:p>
      <w:pPr>
        <w:pStyle w:val="11"/>
        <w:tabs>
          <w:tab w:val="left" w:pos="960"/>
        </w:tabs>
        <w:spacing w:before="89" w:line="343" w:lineRule="auto"/>
        <w:ind w:left="0" w:right="1065" w:firstLine="228" w:firstLineChars="100"/>
        <w:rPr>
          <w:rFonts w:hint="default" w:eastAsia="宋体"/>
          <w:color w:val="000000"/>
          <w:spacing w:val="-6"/>
          <w:sz w:val="24"/>
          <w:lang w:val="en-US" w:eastAsia="zh-CN"/>
        </w:rPr>
      </w:pPr>
      <w:r>
        <w:rPr>
          <w:rFonts w:hint="eastAsia"/>
          <w:color w:val="000000"/>
          <w:spacing w:val="-6"/>
          <w:sz w:val="24"/>
        </w:rPr>
        <w:t xml:space="preserve">电 </w:t>
      </w:r>
      <w:r>
        <w:rPr>
          <w:rFonts w:hint="eastAsia"/>
          <w:color w:val="000000"/>
          <w:spacing w:val="-6"/>
          <w:sz w:val="24"/>
          <w:lang w:val="en-US"/>
        </w:rPr>
        <w:t xml:space="preserve">  </w:t>
      </w:r>
      <w:r>
        <w:rPr>
          <w:rFonts w:hint="eastAsia"/>
          <w:color w:val="000000"/>
          <w:spacing w:val="-6"/>
          <w:sz w:val="24"/>
        </w:rPr>
        <w:t xml:space="preserve"> 话：</w:t>
      </w:r>
      <w:r>
        <w:rPr>
          <w:rFonts w:hint="eastAsia"/>
          <w:color w:val="000000"/>
          <w:spacing w:val="-6"/>
          <w:sz w:val="24"/>
          <w:lang w:val="en-US" w:eastAsia="zh-CN"/>
        </w:rPr>
        <w:t>15090597778</w:t>
      </w:r>
    </w:p>
    <w:p>
      <w:pPr>
        <w:pStyle w:val="11"/>
        <w:tabs>
          <w:tab w:val="left" w:pos="960"/>
        </w:tabs>
        <w:spacing w:before="89" w:line="343" w:lineRule="auto"/>
        <w:ind w:left="0" w:right="1065" w:firstLine="228" w:firstLineChars="100"/>
        <w:rPr>
          <w:rFonts w:hint="eastAsia"/>
          <w:color w:val="000000"/>
          <w:spacing w:val="-6"/>
          <w:sz w:val="24"/>
          <w:lang w:val="en-US"/>
        </w:rPr>
      </w:pPr>
      <w:r>
        <w:rPr>
          <w:rFonts w:hint="eastAsia"/>
          <w:color w:val="000000"/>
          <w:spacing w:val="-6"/>
          <w:sz w:val="24"/>
          <w:lang w:val="en-US"/>
        </w:rPr>
        <w:t xml:space="preserve">代理机构：河南呈祥工程咨询有限公司 </w:t>
      </w:r>
    </w:p>
    <w:p>
      <w:pPr>
        <w:pStyle w:val="11"/>
        <w:tabs>
          <w:tab w:val="left" w:pos="960"/>
        </w:tabs>
        <w:spacing w:before="89" w:line="343" w:lineRule="auto"/>
        <w:ind w:left="0" w:right="1065" w:firstLine="228" w:firstLineChars="100"/>
        <w:rPr>
          <w:rFonts w:hint="eastAsia"/>
          <w:color w:val="000000"/>
          <w:spacing w:val="-6"/>
          <w:sz w:val="24"/>
          <w:lang w:val="en-US"/>
        </w:rPr>
      </w:pPr>
      <w:r>
        <w:rPr>
          <w:rFonts w:hint="eastAsia"/>
          <w:color w:val="000000"/>
          <w:spacing w:val="-6"/>
          <w:sz w:val="24"/>
          <w:lang w:val="en-US"/>
        </w:rPr>
        <w:t>联系地址:</w:t>
      </w:r>
      <w:r>
        <w:rPr>
          <w:rFonts w:hint="eastAsia"/>
          <w:color w:val="000000"/>
          <w:spacing w:val="-6"/>
          <w:sz w:val="24"/>
          <w:lang w:val="en-US" w:eastAsia="zh-CN"/>
        </w:rPr>
        <w:t>商丘市淮河路与帝和路交叉口新城国际20号楼1802室</w:t>
      </w:r>
    </w:p>
    <w:p>
      <w:pPr>
        <w:pStyle w:val="11"/>
        <w:tabs>
          <w:tab w:val="left" w:pos="960"/>
        </w:tabs>
        <w:spacing w:before="89" w:line="343" w:lineRule="auto"/>
        <w:ind w:left="0" w:right="1065" w:firstLine="228" w:firstLineChars="100"/>
        <w:rPr>
          <w:rFonts w:hint="eastAsia"/>
          <w:color w:val="000000"/>
          <w:spacing w:val="-6"/>
          <w:sz w:val="24"/>
          <w:lang w:val="en-US"/>
        </w:rPr>
      </w:pPr>
      <w:r>
        <w:rPr>
          <w:rFonts w:hint="eastAsia"/>
          <w:color w:val="000000"/>
          <w:spacing w:val="-6"/>
          <w:sz w:val="24"/>
          <w:lang w:val="en-US"/>
        </w:rPr>
        <w:t xml:space="preserve">联 系 人：屠经理                </w:t>
      </w:r>
    </w:p>
    <w:p>
      <w:pPr>
        <w:pStyle w:val="11"/>
        <w:tabs>
          <w:tab w:val="left" w:pos="960"/>
        </w:tabs>
        <w:spacing w:before="89" w:line="343" w:lineRule="auto"/>
        <w:ind w:left="0" w:right="1065" w:firstLine="228" w:firstLineChars="100"/>
        <w:rPr>
          <w:rFonts w:hint="eastAsia"/>
          <w:color w:val="000000"/>
          <w:spacing w:val="-6"/>
          <w:sz w:val="24"/>
          <w:lang w:val="en-US"/>
        </w:rPr>
      </w:pPr>
      <w:r>
        <w:rPr>
          <w:rFonts w:hint="eastAsia"/>
          <w:color w:val="000000"/>
          <w:spacing w:val="-6"/>
          <w:sz w:val="24"/>
          <w:lang w:val="en-US"/>
        </w:rPr>
        <w:t>联系电话： 18337011975</w:t>
      </w:r>
    </w:p>
    <w:p>
      <w:pPr>
        <w:spacing w:line="440" w:lineRule="exact"/>
        <w:ind w:firstLine="480" w:firstLineChars="200"/>
        <w:jc w:val="both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            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本项目结果期限为1个工作日，各有关当事人如对中标结果有异议的，可以在结果公告发布之日起7个工作日内，以书面形式同时向招标人或招标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right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760"/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12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tabs>
          <w:tab w:val="left" w:pos="643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623"/>
    <w:rsid w:val="00F66A4A"/>
    <w:rsid w:val="01730E53"/>
    <w:rsid w:val="02556476"/>
    <w:rsid w:val="02D823AB"/>
    <w:rsid w:val="03CC0AC7"/>
    <w:rsid w:val="03F60986"/>
    <w:rsid w:val="0472694E"/>
    <w:rsid w:val="04D26096"/>
    <w:rsid w:val="04D51C95"/>
    <w:rsid w:val="05AE3993"/>
    <w:rsid w:val="06D0755C"/>
    <w:rsid w:val="07634E29"/>
    <w:rsid w:val="078821D0"/>
    <w:rsid w:val="078A05D8"/>
    <w:rsid w:val="09790F20"/>
    <w:rsid w:val="0992301A"/>
    <w:rsid w:val="09A80B20"/>
    <w:rsid w:val="09D92A90"/>
    <w:rsid w:val="09DE5CC6"/>
    <w:rsid w:val="0C272426"/>
    <w:rsid w:val="0C6D4D23"/>
    <w:rsid w:val="0DB31872"/>
    <w:rsid w:val="0F3E2108"/>
    <w:rsid w:val="101802FE"/>
    <w:rsid w:val="1022236C"/>
    <w:rsid w:val="115C0338"/>
    <w:rsid w:val="116A5C75"/>
    <w:rsid w:val="11D966F7"/>
    <w:rsid w:val="12944E96"/>
    <w:rsid w:val="1346100C"/>
    <w:rsid w:val="13C759FA"/>
    <w:rsid w:val="14043610"/>
    <w:rsid w:val="14322733"/>
    <w:rsid w:val="14744A5D"/>
    <w:rsid w:val="14F63C08"/>
    <w:rsid w:val="15443E3C"/>
    <w:rsid w:val="15993850"/>
    <w:rsid w:val="16307EE8"/>
    <w:rsid w:val="17F55AE5"/>
    <w:rsid w:val="18B13B31"/>
    <w:rsid w:val="1980795C"/>
    <w:rsid w:val="19E60598"/>
    <w:rsid w:val="1AB97941"/>
    <w:rsid w:val="1C48351D"/>
    <w:rsid w:val="1CCB7DA5"/>
    <w:rsid w:val="1CF9611F"/>
    <w:rsid w:val="1D025985"/>
    <w:rsid w:val="1E696F41"/>
    <w:rsid w:val="1EA54EE0"/>
    <w:rsid w:val="1F063C8D"/>
    <w:rsid w:val="1F497B00"/>
    <w:rsid w:val="214C6877"/>
    <w:rsid w:val="22556B1F"/>
    <w:rsid w:val="22C12387"/>
    <w:rsid w:val="25747A75"/>
    <w:rsid w:val="262845BF"/>
    <w:rsid w:val="28CC68ED"/>
    <w:rsid w:val="2920555A"/>
    <w:rsid w:val="2928708D"/>
    <w:rsid w:val="299100EC"/>
    <w:rsid w:val="29C0237C"/>
    <w:rsid w:val="2AA113D4"/>
    <w:rsid w:val="2BCF2D8C"/>
    <w:rsid w:val="2CA92278"/>
    <w:rsid w:val="2D2028AB"/>
    <w:rsid w:val="2D354A02"/>
    <w:rsid w:val="2D516013"/>
    <w:rsid w:val="2DB31EED"/>
    <w:rsid w:val="2F5427B4"/>
    <w:rsid w:val="2FBD6294"/>
    <w:rsid w:val="2FCC2FD5"/>
    <w:rsid w:val="30FB1EA6"/>
    <w:rsid w:val="31582758"/>
    <w:rsid w:val="327B286F"/>
    <w:rsid w:val="346307CA"/>
    <w:rsid w:val="34D3331D"/>
    <w:rsid w:val="353C7ED7"/>
    <w:rsid w:val="3787218B"/>
    <w:rsid w:val="3BDB1B5A"/>
    <w:rsid w:val="3C3952BF"/>
    <w:rsid w:val="3CFB33C7"/>
    <w:rsid w:val="3EA40279"/>
    <w:rsid w:val="3FC07C2A"/>
    <w:rsid w:val="405E266A"/>
    <w:rsid w:val="406C14D7"/>
    <w:rsid w:val="42B6664C"/>
    <w:rsid w:val="439C478C"/>
    <w:rsid w:val="476F788D"/>
    <w:rsid w:val="491D1B99"/>
    <w:rsid w:val="493F28C2"/>
    <w:rsid w:val="49745BAC"/>
    <w:rsid w:val="499816E2"/>
    <w:rsid w:val="4B7E2533"/>
    <w:rsid w:val="4B961E53"/>
    <w:rsid w:val="4D927F92"/>
    <w:rsid w:val="4DD16EB5"/>
    <w:rsid w:val="4DDC3F9E"/>
    <w:rsid w:val="4E65122F"/>
    <w:rsid w:val="4EA2096D"/>
    <w:rsid w:val="4EC576DF"/>
    <w:rsid w:val="50AD2ACA"/>
    <w:rsid w:val="514D45E4"/>
    <w:rsid w:val="520457AC"/>
    <w:rsid w:val="526E3D96"/>
    <w:rsid w:val="52E07C4B"/>
    <w:rsid w:val="534231FD"/>
    <w:rsid w:val="54021F90"/>
    <w:rsid w:val="547D1494"/>
    <w:rsid w:val="556B318E"/>
    <w:rsid w:val="567861E0"/>
    <w:rsid w:val="574F7FD0"/>
    <w:rsid w:val="57832248"/>
    <w:rsid w:val="57A37C1B"/>
    <w:rsid w:val="58862386"/>
    <w:rsid w:val="58B91955"/>
    <w:rsid w:val="594249E4"/>
    <w:rsid w:val="5B0F56C1"/>
    <w:rsid w:val="5B140710"/>
    <w:rsid w:val="5B9E54FD"/>
    <w:rsid w:val="5BE36109"/>
    <w:rsid w:val="5C145707"/>
    <w:rsid w:val="5D383DEF"/>
    <w:rsid w:val="5D5663F0"/>
    <w:rsid w:val="5DB40D1E"/>
    <w:rsid w:val="5F85091F"/>
    <w:rsid w:val="5FC513AB"/>
    <w:rsid w:val="6033105D"/>
    <w:rsid w:val="613C5B7F"/>
    <w:rsid w:val="623E6C54"/>
    <w:rsid w:val="62C21A2A"/>
    <w:rsid w:val="634E5066"/>
    <w:rsid w:val="639C685E"/>
    <w:rsid w:val="64611E93"/>
    <w:rsid w:val="64C52ACE"/>
    <w:rsid w:val="653254B0"/>
    <w:rsid w:val="655B6F56"/>
    <w:rsid w:val="657C41EA"/>
    <w:rsid w:val="682F7D5A"/>
    <w:rsid w:val="68DC4044"/>
    <w:rsid w:val="69582C70"/>
    <w:rsid w:val="6984535A"/>
    <w:rsid w:val="6A373B00"/>
    <w:rsid w:val="6B4D2BF7"/>
    <w:rsid w:val="6BDE23FE"/>
    <w:rsid w:val="6C4B6E68"/>
    <w:rsid w:val="6D87593F"/>
    <w:rsid w:val="6F60012D"/>
    <w:rsid w:val="73B21971"/>
    <w:rsid w:val="763142DD"/>
    <w:rsid w:val="76E50802"/>
    <w:rsid w:val="76FF3877"/>
    <w:rsid w:val="77343E9C"/>
    <w:rsid w:val="774B676F"/>
    <w:rsid w:val="77775C32"/>
    <w:rsid w:val="79930EEA"/>
    <w:rsid w:val="7A0D3378"/>
    <w:rsid w:val="7AE019E1"/>
    <w:rsid w:val="7B476478"/>
    <w:rsid w:val="7BDD2791"/>
    <w:rsid w:val="7BE161D9"/>
    <w:rsid w:val="7C2D6C76"/>
    <w:rsid w:val="7D3F4FF1"/>
    <w:rsid w:val="7F515FB6"/>
    <w:rsid w:val="7FFC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信息标题1"/>
    <w:basedOn w:val="1"/>
    <w:qFormat/>
    <w:uiPriority w:val="1664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right="0" w:hanging="1080"/>
    </w:pPr>
    <w:rPr>
      <w:rFonts w:ascii="Cambria" w:hAnsi="Cambria" w:eastAsia="宋体" w:cs="Times New Roman"/>
      <w:sz w:val="24"/>
    </w:rPr>
  </w:style>
  <w:style w:type="paragraph" w:styleId="11">
    <w:name w:val="List Paragraph"/>
    <w:basedOn w:val="1"/>
    <w:qFormat/>
    <w:uiPriority w:val="1"/>
    <w:pPr>
      <w:ind w:left="854" w:hanging="31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123455</cp:lastModifiedBy>
  <cp:lastPrinted>2018-11-01T03:39:00Z</cp:lastPrinted>
  <dcterms:modified xsi:type="dcterms:W3CDTF">2019-12-24T02:41:43Z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