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889"/>
        <w:gridCol w:w="1890"/>
        <w:gridCol w:w="1080"/>
        <w:gridCol w:w="1005"/>
        <w:gridCol w:w="1080"/>
        <w:gridCol w:w="3629"/>
        <w:gridCol w:w="1080"/>
        <w:gridCol w:w="1080"/>
        <w:gridCol w:w="1080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夏邑县住房和城乡建设局2023年度“双随机一公开”抽查计划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抽查计划名称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抽查任务名称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抽查类型（定向或不定向）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抽查事项类别（一般检查事项或重点检查事项）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部门联合抽查（是或否）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抽查对象范围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抽查对象比例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抽查时间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预拌混凝土企业监督检查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预拌混凝土企业监督检查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重点检查事项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预拌混凝土企业监督检查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预拌混凝土企业企业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4次/年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房建建筑工程安全监督检查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房建建筑工程安全监督检查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重点检查事项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房建建筑工程安全监督检查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县城规划区内建设项目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10%-30%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2次/年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对城市供水水质的监督检查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对城市供水水质的监督检查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一般检查事项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对城市供水水质的监督检查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城区供水企业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9月-10月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对集中供热经营企业的监管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对集中供热经营企业的监管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一般检查事项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对集中供热经营企业的监管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热经营企业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12月份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对城镇排水和污水处理设施运行维护和保护情况的监督检查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对城镇排水和污水处理设施运行维护和保护情况的监督检查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一般检查事项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对城镇排水和污水处理设施运行维护和保护情况的监督检查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城镇排水与污水处理设施维护运营单位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8月-11月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住建局在建工程综合检查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住建局在建工程综合检查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定向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重点检查事项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.对建设工程质量检测机构的检查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2.工程建设强制性标准监督检查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3.房屋建筑工程的质量检查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4.建筑业企业检查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5.工程监理企业检查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6.注册监理工程师注册及继续教育情况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7.建造师注册及继续教育情况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8.建筑市场检查（含对招投标过程的检查）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9.工程勘察、设计企业检查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10.工程勘察、设计、审查市场、质量检查（含抗震设防）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11.建筑节能与墙材革新检查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12.对造价工程师证书注册、延续“挂证”违法违规行为的检查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13.对工程造价咨询单位从事工程造价咨询业务活动的检查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14.建筑工程发承包计价活动检查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15.对建设工程消防设计审查、验收备案抽查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16.勘察设计注册工程师注册及继续教育情况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17.注册建筑师注册及继续教育情况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县城规划区内建设项目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2次/年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ind w:firstLine="2240" w:firstLineChars="700"/>
        <w:jc w:val="left"/>
        <w:rPr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2240" w:firstLineChars="700"/>
        <w:jc w:val="righ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NDg0Y2RhZmJjMDQ3MTBhMTljYzNiODIxZGZkZDAifQ=="/>
  </w:docVars>
  <w:rsids>
    <w:rsidRoot w:val="5D76190F"/>
    <w:rsid w:val="0037257A"/>
    <w:rsid w:val="00A216A7"/>
    <w:rsid w:val="00A82341"/>
    <w:rsid w:val="434731DA"/>
    <w:rsid w:val="5D76190F"/>
    <w:rsid w:val="631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771</Words>
  <Characters>814</Characters>
  <Lines>7</Lines>
  <Paragraphs>2</Paragraphs>
  <TotalTime>73</TotalTime>
  <ScaleCrop>false</ScaleCrop>
  <LinksUpToDate>false</LinksUpToDate>
  <CharactersWithSpaces>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2023-05-18T03:10:00Z</dcterms:created>
  <dc:creator>Administrator</dc:creator>
  <cp:lastModifiedBy>。</cp:lastModifiedBy>
  <cp:lastPrinted>2023-05-18T07:22:00Z</cp:lastPrinted>
  <dcterms:modified xsi:type="dcterms:W3CDTF">2023-05-19T07:52:19Z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9DA9617E3113419CAE25D8E0F136CD80_13</vt:lpwstr>
  </property>
</Properties>
</file>