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夏邑县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市场监督管理局2022年“双随机、一公开”抽查计划</w:t>
      </w:r>
    </w:p>
    <w:bookmarkEnd w:id="0"/>
    <w:tbl>
      <w:tblPr>
        <w:tblStyle w:val="7"/>
        <w:tblW w:w="14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000"/>
        <w:gridCol w:w="1953"/>
        <w:gridCol w:w="757"/>
        <w:gridCol w:w="1270"/>
        <w:gridCol w:w="2070"/>
        <w:gridCol w:w="2463"/>
        <w:gridCol w:w="960"/>
        <w:gridCol w:w="870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2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0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抽查计划名称</w:t>
            </w:r>
          </w:p>
        </w:tc>
        <w:tc>
          <w:tcPr>
            <w:tcW w:w="19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抽查任务名称</w:t>
            </w:r>
          </w:p>
        </w:tc>
        <w:tc>
          <w:tcPr>
            <w:tcW w:w="7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抽查类型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抽查事项类别</w:t>
            </w:r>
          </w:p>
        </w:tc>
        <w:tc>
          <w:tcPr>
            <w:tcW w:w="20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</w:t>
            </w:r>
          </w:p>
        </w:tc>
        <w:tc>
          <w:tcPr>
            <w:tcW w:w="246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抽查对象范围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抽查对象比例</w:t>
            </w:r>
          </w:p>
        </w:tc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抽查起止时间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2022年夏邑县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能效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水效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标识计量专项监督检查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房间空气调节器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家用电冰箱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和坐便器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能效标识计量专项监督检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查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能效标识计量专项监督检查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房间空气调节器和家用电冰箱销售主体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2022年夏邑县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集贸市场计量专项监督检查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2022年夏邑县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集贸市场计量专项监督检查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在用计量器具监督检查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集贸市场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2022年夏邑县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超市计量专项监督检查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超市计量专项监督检查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在用计量器具监督检查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超市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2022年夏邑县眼镜制配场所计量专项监督检查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2022年夏邑县眼镜制配场所计量专项监督检查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在用计量器具监督检查</w:t>
            </w:r>
          </w:p>
        </w:tc>
        <w:tc>
          <w:tcPr>
            <w:tcW w:w="2463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眼镜制配场所</w:t>
            </w:r>
          </w:p>
        </w:tc>
        <w:tc>
          <w:tcPr>
            <w:tcW w:w="9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≥10%</w:t>
            </w:r>
          </w:p>
        </w:tc>
        <w:tc>
          <w:tcPr>
            <w:tcW w:w="87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2022年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夏邑县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市场监管局开展景区门票价格检查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景区门票价格检查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价格行为监督检查（政府定价、政府指导价）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景点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10%以上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价格执法督查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2022年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夏邑县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市场监管局开展商场超市价格检查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商场超市价格检查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价格行为监督检查（市场调节价）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市区商场超市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10%以上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价格执法督查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抽查计划名称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抽查任务名称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抽查类型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抽查事项类别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抽查对象范围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抽查对象比例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抽查起止时间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币场监管局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液化气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液化气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加油站库存液化气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币场监管局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肥料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肥料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复合（混）肥、氮肥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肥料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复合（混）肥、氮肥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生产销售企业成品库代销产品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市场监管局洁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型煤质量监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净型煤产品质量监督检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圾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生产或销售企业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仓库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的待销型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生产全覆盖销售≥20%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币场监管局成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品油质量监督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油产品质量监督检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加油站库存成品油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≥30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纺织服装质量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监督抽查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服装（校服、羽绒服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企业成品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仓库内的待销产品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眼镜类产品监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眼镜类产品及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配件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加工销售场所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≥20%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抽查计划名称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抽查任务名称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抽查类型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抽查事项类别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抽查事项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抽查对象范围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抽查对象比例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抽查起止时间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工业产品生产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许可证产品生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产企业监督检</w:t>
            </w:r>
          </w:p>
          <w:p>
            <w:pPr>
              <w:spacing w:line="240" w:lineRule="exact"/>
              <w:ind w:firstLine="240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工业产品生产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许可证产品生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产企业监督检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趔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工业产品生产许可资格检查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全县工业产品生产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可证获证企业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3、4季度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食品相关产品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获证企业检查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食品相关产品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获证企业检查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食品相关产品获证企业条件检查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全县食品相关产品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重点建筑装饰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装修材料监瞀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筑装饰装修材料监督抽查（人造板、建筑用金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面绝热夹芯板）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企业成品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仓库内的待销产品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≥50％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2022年夏邑县市场监督管理局学校食堂“双随机、一公开”抽查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夏邑县市场监督管理局学校食堂“双随机、一公开”抽查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餐饮服务监督检查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全县学校食堂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不低于10%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餐饮食品安全监督管理股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2022年夏邑县市场监督管理局社会餐饮“双随机、一公开”抽查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夏邑县市场监督管理局社会餐饮“双随机、一公开”抽查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餐饮服务监督检查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全县餐饮单位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不低于5%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餐饮食品安全监督管理股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市场监督管理局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社会餐饮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“双随机、一公开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市场监督管理局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社会餐饮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“双随机、一公开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特殊食品销售监督检查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般风险食品销售监督检查、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网络食品销售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监督检查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全县范围内注册登记（食用农产品）、许可的食品销售市场主体。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不低于5%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抽查计划名称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抽查任务名称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抽查类型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抽查事项类别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抽查事项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抽查对象范围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抽查对象比例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</w:rPr>
              <w:t>抽查起止时间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2022年夏邑县市场监督管理局食品销售市场主体“双随机、一公开”抽查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夏邑县市场监督管理局食品销售市场主体“双随机、一公开”抽查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食用农产品市场销售质量安全检查、校园食品销售监督检查、高风险食品销售监督检查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全县范围内注册登记（食用农产品）、许可的食品销售市场主体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不低于5%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市场监督管理局食品销售市场主体“双随机、一公开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市场监督管理局食品销售市场主体“双随机、一公开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食用农产品市场销售质量安全检查、校园食品销售监督检查、高风险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食品销售监督检查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全县范围内注册登记（食用农产品）、许可的食品销售市场主体。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不低于5%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2022年夏邑县市场监督管理局社会餐饮“双随机、一公开”抽查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夏邑县市场监督管理局社会餐饮“双随机、一公开”抽查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特殊食品销售监督检查、一般风险食品销售监督检查、网络食品销售监督检查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全县范围内注册登记（食用农产品）、许可的食品销售市场主体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不低于5%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2022年夏邑县学校食堂食品安全监督抽检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2022年度学校食堂食品安全监督抽检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食品安全监督抽检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夏邑县高级中学及以上学校食堂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不低于30%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4月-11月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食品安全抽检监测股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2022年夏邑县市场监管局食品生产企业“双随机、一公开”抽查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食品生产“双随机、一公开”抽查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食品生产企业安全监督检查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全县获证食品生产企业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不低于30%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 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食品生产安全监管股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6" w:type="dxa"/>
            <w:vMerge w:val="restart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000" w:type="dxa"/>
            <w:vMerge w:val="restart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2022年夏邑县市场监管局市场主体抽查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个体工商户抽查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不定向</w:t>
            </w:r>
          </w:p>
        </w:tc>
        <w:tc>
          <w:tcPr>
            <w:tcW w:w="5803" w:type="dxa"/>
            <w:gridSpan w:val="3"/>
            <w:vMerge w:val="restart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登记事项检查、公示信息检查、广告行为检查、商标使用行为的检查、商标使用行为的检查、专利真实性监督检查、直销行为监督检查、电子商务经营行为监督检查、野生动物市场交易行为检查。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不低于3%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7月-11月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vMerge w:val="restart"/>
            <w:vAlign w:val="top"/>
          </w:tcPr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、广告监管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、知识产权保护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、反不正当竞争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、网络交易监管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、市场规范管理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26" w:type="dxa"/>
            <w:vMerge w:val="continue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农民专业合作社抽查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不定向</w:t>
            </w:r>
          </w:p>
        </w:tc>
        <w:tc>
          <w:tcPr>
            <w:tcW w:w="5803" w:type="dxa"/>
            <w:gridSpan w:val="3"/>
            <w:vMerge w:val="continue"/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不低于5%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26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备注：1.本计划中各任务均由各股室组织实施。各股室应根据相关规定和要求自行制定本级计划并组织实施。</w:t>
            </w:r>
          </w:p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2.本计划与省、市局计划重复或冲突的，科室可视情况对计划进行调整。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TJmNzdmNDdmZDAxMTA5NjlmMzk2ZTQ2ZTM4YzYifQ=="/>
  </w:docVars>
  <w:rsids>
    <w:rsidRoot w:val="05450E14"/>
    <w:rsid w:val="054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6"/>
    <w:qFormat/>
    <w:uiPriority w:val="0"/>
    <w:pPr>
      <w:spacing w:after="200" w:line="360" w:lineRule="auto"/>
      <w:ind w:left="0" w:leftChars="0" w:firstLine="420" w:firstLineChars="200"/>
    </w:pPr>
    <w:rPr>
      <w:sz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2022-06-15T08:16:00Z</dcterms:created>
  <dc:creator>ASUS</dc:creator>
  <cp:lastModifiedBy>ASUS</cp:lastModifiedBy>
  <dcterms:modified xsi:type="dcterms:W3CDTF">2022-06-15T08:24:28Z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FD95CBFAFC294F418E55C06DC5FBC8D6</vt:lpwstr>
  </property>
</Properties>
</file>