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文星黑体" w:hAnsi="文星黑体" w:eastAsia="文星黑体" w:cs="文星黑体"/>
          <w:i w:val="0"/>
          <w:caps w:val="0"/>
          <w:color w:val="auto"/>
          <w:spacing w:val="0"/>
          <w:sz w:val="32"/>
          <w:szCs w:val="32"/>
          <w:shd w:val="clear" w:fill="FFFFFF"/>
          <w:lang w:val="en-US" w:eastAsia="zh-CN"/>
        </w:rPr>
      </w:pPr>
      <w:r>
        <w:rPr>
          <w:rFonts w:hint="eastAsia" w:ascii="文星黑体" w:hAnsi="文星黑体" w:eastAsia="文星黑体" w:cs="文星黑体"/>
          <w:i w:val="0"/>
          <w:caps w:val="0"/>
          <w:color w:val="auto"/>
          <w:spacing w:val="0"/>
          <w:sz w:val="32"/>
          <w:szCs w:val="32"/>
          <w:shd w:val="clear" w:fill="FFFFFF"/>
          <w:lang w:val="en-US" w:eastAsia="zh-CN"/>
        </w:rPr>
        <w:t>附  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right="0" w:firstLine="440" w:firstLineChars="100"/>
        <w:jc w:val="both"/>
        <w:textAlignment w:val="top"/>
        <w:rPr>
          <w:rFonts w:hint="eastAsia" w:ascii="文星标宋" w:hAnsi="文星标宋" w:eastAsia="文星标宋" w:cs="文星标宋"/>
          <w:b w:val="0"/>
          <w:bCs w:val="0"/>
          <w:i w:val="0"/>
          <w:caps w:val="0"/>
          <w:color w:val="auto"/>
          <w:spacing w:val="0"/>
          <w:kern w:val="0"/>
          <w:sz w:val="44"/>
          <w:szCs w:val="44"/>
          <w:shd w:val="clear" w:fill="FFFFFF"/>
          <w:lang w:val="en-US" w:eastAsia="zh-CN" w:bidi="ar"/>
        </w:rPr>
      </w:pPr>
      <w:r>
        <w:rPr>
          <w:rFonts w:hint="eastAsia" w:ascii="文星标宋" w:hAnsi="文星标宋" w:eastAsia="文星标宋" w:cs="文星标宋"/>
          <w:b w:val="0"/>
          <w:bCs w:val="0"/>
          <w:i w:val="0"/>
          <w:caps w:val="0"/>
          <w:color w:val="auto"/>
          <w:spacing w:val="0"/>
          <w:kern w:val="0"/>
          <w:sz w:val="44"/>
          <w:szCs w:val="44"/>
          <w:shd w:val="clear" w:fill="FFFFFF"/>
          <w:lang w:val="en-US" w:eastAsia="zh-CN" w:bidi="ar"/>
        </w:rPr>
        <w:t>夏邑县县级行政审批中介服务事项清单</w:t>
      </w:r>
    </w:p>
    <w:tbl>
      <w:tblPr>
        <w:tblStyle w:val="3"/>
        <w:tblW w:w="8924" w:type="dxa"/>
        <w:jc w:val="center"/>
        <w:shd w:val="clear" w:color="auto" w:fill="auto"/>
        <w:tblLayout w:type="autofit"/>
        <w:tblCellMar>
          <w:top w:w="0" w:type="dxa"/>
          <w:left w:w="0" w:type="dxa"/>
          <w:bottom w:w="0" w:type="dxa"/>
          <w:right w:w="0" w:type="dxa"/>
        </w:tblCellMar>
      </w:tblPr>
      <w:tblGrid>
        <w:gridCol w:w="333"/>
        <w:gridCol w:w="522"/>
        <w:gridCol w:w="616"/>
        <w:gridCol w:w="544"/>
        <w:gridCol w:w="4691"/>
        <w:gridCol w:w="518"/>
        <w:gridCol w:w="320"/>
        <w:gridCol w:w="470"/>
        <w:gridCol w:w="910"/>
      </w:tblGrid>
      <w:tr>
        <w:tblPrEx>
          <w:tblCellMar>
            <w:top w:w="0" w:type="dxa"/>
            <w:left w:w="0" w:type="dxa"/>
            <w:bottom w:w="0" w:type="dxa"/>
            <w:right w:w="0" w:type="dxa"/>
          </w:tblCellMar>
        </w:tblPrEx>
        <w:trPr>
          <w:trHeight w:val="1160" w:hRule="atLeast"/>
          <w:jc w:val="center"/>
        </w:trPr>
        <w:tc>
          <w:tcPr>
            <w:tcW w:w="3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b/>
                <w:i w:val="0"/>
                <w:color w:val="000000"/>
                <w:sz w:val="21"/>
                <w:szCs w:val="21"/>
                <w:u w:val="none"/>
              </w:rPr>
            </w:pPr>
            <w:r>
              <w:rPr>
                <w:rFonts w:hint="eastAsia" w:ascii="文星仿宋" w:hAnsi="文星仿宋" w:eastAsia="文星仿宋" w:cs="文星仿宋"/>
                <w:b/>
                <w:i w:val="0"/>
                <w:color w:val="000000"/>
                <w:kern w:val="0"/>
                <w:sz w:val="21"/>
                <w:szCs w:val="21"/>
                <w:u w:val="none"/>
                <w:lang w:val="en-US" w:eastAsia="zh-CN" w:bidi="ar"/>
              </w:rPr>
              <w:t>序号</w:t>
            </w:r>
          </w:p>
        </w:tc>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b/>
                <w:i w:val="0"/>
                <w:color w:val="000000"/>
                <w:sz w:val="21"/>
                <w:szCs w:val="21"/>
                <w:u w:val="none"/>
              </w:rPr>
            </w:pPr>
            <w:r>
              <w:rPr>
                <w:rFonts w:hint="eastAsia" w:ascii="文星仿宋" w:hAnsi="文星仿宋" w:eastAsia="文星仿宋" w:cs="文星仿宋"/>
                <w:b/>
                <w:i w:val="0"/>
                <w:color w:val="000000"/>
                <w:kern w:val="0"/>
                <w:sz w:val="21"/>
                <w:szCs w:val="21"/>
                <w:u w:val="none"/>
                <w:lang w:val="en-US" w:eastAsia="zh-CN" w:bidi="ar"/>
              </w:rPr>
              <w:t>行政审批部门</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b/>
                <w:i w:val="0"/>
                <w:color w:val="000000"/>
                <w:sz w:val="21"/>
                <w:szCs w:val="21"/>
                <w:u w:val="none"/>
              </w:rPr>
            </w:pPr>
            <w:r>
              <w:rPr>
                <w:rFonts w:hint="eastAsia" w:ascii="文星仿宋" w:hAnsi="文星仿宋" w:eastAsia="文星仿宋" w:cs="文星仿宋"/>
                <w:b/>
                <w:i w:val="0"/>
                <w:color w:val="000000"/>
                <w:kern w:val="0"/>
                <w:sz w:val="21"/>
                <w:szCs w:val="21"/>
                <w:u w:val="none"/>
                <w:lang w:val="en-US" w:eastAsia="zh-CN" w:bidi="ar"/>
              </w:rPr>
              <w:t>行政审批项目名称</w:t>
            </w:r>
          </w:p>
        </w:tc>
        <w:tc>
          <w:tcPr>
            <w:tcW w:w="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b/>
                <w:i w:val="0"/>
                <w:color w:val="000000"/>
                <w:sz w:val="21"/>
                <w:szCs w:val="21"/>
                <w:u w:val="none"/>
              </w:rPr>
            </w:pPr>
            <w:r>
              <w:rPr>
                <w:rFonts w:hint="eastAsia" w:ascii="文星仿宋" w:hAnsi="文星仿宋" w:eastAsia="文星仿宋" w:cs="文星仿宋"/>
                <w:b/>
                <w:i w:val="0"/>
                <w:color w:val="000000"/>
                <w:kern w:val="0"/>
                <w:sz w:val="21"/>
                <w:szCs w:val="21"/>
                <w:u w:val="none"/>
                <w:lang w:val="en-US" w:eastAsia="zh-CN" w:bidi="ar"/>
              </w:rPr>
              <w:t>涉及中介服务事项</w:t>
            </w:r>
          </w:p>
        </w:tc>
        <w:tc>
          <w:tcPr>
            <w:tcW w:w="46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b/>
                <w:i w:val="0"/>
                <w:color w:val="000000"/>
                <w:sz w:val="21"/>
                <w:szCs w:val="21"/>
                <w:u w:val="none"/>
              </w:rPr>
            </w:pPr>
            <w:r>
              <w:rPr>
                <w:rFonts w:hint="eastAsia" w:ascii="文星仿宋" w:hAnsi="文星仿宋" w:eastAsia="文星仿宋" w:cs="文星仿宋"/>
                <w:b/>
                <w:i w:val="0"/>
                <w:color w:val="000000"/>
                <w:kern w:val="0"/>
                <w:sz w:val="21"/>
                <w:szCs w:val="21"/>
                <w:u w:val="none"/>
                <w:lang w:val="en-US" w:eastAsia="zh-CN" w:bidi="ar"/>
              </w:rPr>
              <w:t>设定依据</w:t>
            </w:r>
          </w:p>
        </w:tc>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b/>
                <w:i w:val="0"/>
                <w:color w:val="000000"/>
                <w:sz w:val="21"/>
                <w:szCs w:val="21"/>
                <w:u w:val="none"/>
              </w:rPr>
            </w:pPr>
            <w:r>
              <w:rPr>
                <w:rFonts w:hint="eastAsia" w:ascii="文星仿宋" w:hAnsi="文星仿宋" w:eastAsia="文星仿宋" w:cs="文星仿宋"/>
                <w:b/>
                <w:i w:val="0"/>
                <w:color w:val="000000"/>
                <w:kern w:val="0"/>
                <w:sz w:val="21"/>
                <w:szCs w:val="21"/>
                <w:u w:val="none"/>
                <w:lang w:val="en-US" w:eastAsia="zh-CN" w:bidi="ar"/>
              </w:rPr>
              <w:t>中介服务项目实施机构</w:t>
            </w:r>
          </w:p>
        </w:tc>
        <w:tc>
          <w:tcPr>
            <w:tcW w:w="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b/>
                <w:i w:val="0"/>
                <w:color w:val="000000"/>
                <w:sz w:val="21"/>
                <w:szCs w:val="21"/>
                <w:u w:val="none"/>
              </w:rPr>
            </w:pPr>
            <w:r>
              <w:rPr>
                <w:rFonts w:hint="eastAsia" w:ascii="文星仿宋" w:hAnsi="文星仿宋" w:eastAsia="文星仿宋" w:cs="文星仿宋"/>
                <w:b/>
                <w:i w:val="0"/>
                <w:color w:val="000000"/>
                <w:kern w:val="0"/>
                <w:sz w:val="21"/>
                <w:szCs w:val="21"/>
                <w:u w:val="none"/>
                <w:lang w:val="en-US" w:eastAsia="zh-CN" w:bidi="ar"/>
              </w:rPr>
              <w:t>中介服务时限</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b/>
                <w:i w:val="0"/>
                <w:color w:val="000000"/>
                <w:sz w:val="21"/>
                <w:szCs w:val="21"/>
                <w:u w:val="none"/>
              </w:rPr>
            </w:pPr>
            <w:r>
              <w:rPr>
                <w:rFonts w:hint="eastAsia" w:ascii="文星仿宋" w:hAnsi="文星仿宋" w:eastAsia="文星仿宋" w:cs="文星仿宋"/>
                <w:b/>
                <w:i w:val="0"/>
                <w:color w:val="000000"/>
                <w:kern w:val="0"/>
                <w:sz w:val="21"/>
                <w:szCs w:val="21"/>
                <w:u w:val="none"/>
                <w:lang w:val="en-US" w:eastAsia="zh-CN" w:bidi="ar"/>
              </w:rPr>
              <w:t>收费标准及依据</w:t>
            </w:r>
          </w:p>
        </w:tc>
      </w:tr>
      <w:tr>
        <w:tblPrEx>
          <w:tblCellMar>
            <w:top w:w="0" w:type="dxa"/>
            <w:left w:w="0" w:type="dxa"/>
            <w:bottom w:w="0" w:type="dxa"/>
            <w:right w:w="0" w:type="dxa"/>
          </w:tblCellMar>
        </w:tblPrEx>
        <w:trPr>
          <w:trHeight w:val="705" w:hRule="atLeast"/>
          <w:jc w:val="center"/>
        </w:trPr>
        <w:tc>
          <w:tcPr>
            <w:tcW w:w="3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b/>
                <w:i w:val="0"/>
                <w:color w:val="000000"/>
                <w:sz w:val="21"/>
                <w:szCs w:val="21"/>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b/>
                <w:i w:val="0"/>
                <w:color w:val="000000"/>
                <w:sz w:val="21"/>
                <w:szCs w:val="21"/>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b/>
                <w:i w:val="0"/>
                <w:color w:val="000000"/>
                <w:sz w:val="21"/>
                <w:szCs w:val="21"/>
                <w:u w:val="none"/>
              </w:rPr>
            </w:pPr>
          </w:p>
        </w:tc>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b/>
                <w:i w:val="0"/>
                <w:color w:val="000000"/>
                <w:sz w:val="21"/>
                <w:szCs w:val="21"/>
                <w:u w:val="none"/>
              </w:rPr>
            </w:pPr>
          </w:p>
        </w:tc>
        <w:tc>
          <w:tcPr>
            <w:tcW w:w="4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b/>
                <w:i w:val="0"/>
                <w:color w:val="000000"/>
                <w:sz w:val="21"/>
                <w:szCs w:val="21"/>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b/>
                <w:i w:val="0"/>
                <w:color w:val="000000"/>
                <w:sz w:val="21"/>
                <w:szCs w:val="21"/>
                <w:u w:val="none"/>
              </w:rPr>
            </w:pPr>
          </w:p>
        </w:tc>
        <w:tc>
          <w:tcPr>
            <w:tcW w:w="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b/>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b/>
                <w:i w:val="0"/>
                <w:color w:val="000000"/>
                <w:sz w:val="21"/>
                <w:szCs w:val="21"/>
                <w:u w:val="none"/>
              </w:rPr>
            </w:pPr>
            <w:r>
              <w:rPr>
                <w:rFonts w:hint="eastAsia" w:ascii="文星仿宋" w:hAnsi="文星仿宋" w:eastAsia="文星仿宋" w:cs="文星仿宋"/>
                <w:b/>
                <w:i w:val="0"/>
                <w:color w:val="000000"/>
                <w:kern w:val="0"/>
                <w:sz w:val="21"/>
                <w:szCs w:val="21"/>
                <w:u w:val="none"/>
                <w:lang w:val="en-US" w:eastAsia="zh-CN" w:bidi="ar"/>
              </w:rPr>
              <w:t>金额</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b/>
                <w:i w:val="0"/>
                <w:color w:val="000000"/>
                <w:sz w:val="21"/>
                <w:szCs w:val="21"/>
                <w:u w:val="none"/>
              </w:rPr>
            </w:pPr>
            <w:r>
              <w:rPr>
                <w:rFonts w:hint="eastAsia" w:ascii="文星仿宋" w:hAnsi="文星仿宋" w:eastAsia="文星仿宋" w:cs="文星仿宋"/>
                <w:b/>
                <w:i w:val="0"/>
                <w:color w:val="000000"/>
                <w:kern w:val="0"/>
                <w:sz w:val="21"/>
                <w:szCs w:val="21"/>
                <w:u w:val="none"/>
                <w:lang w:val="en-US" w:eastAsia="zh-CN" w:bidi="ar"/>
              </w:rPr>
              <w:t>依据</w:t>
            </w:r>
          </w:p>
        </w:tc>
      </w:tr>
      <w:tr>
        <w:tblPrEx>
          <w:tblCellMar>
            <w:top w:w="0" w:type="dxa"/>
            <w:left w:w="0" w:type="dxa"/>
            <w:bottom w:w="0" w:type="dxa"/>
            <w:right w:w="0" w:type="dxa"/>
          </w:tblCellMar>
        </w:tblPrEx>
        <w:trPr>
          <w:trHeight w:val="4040" w:hRule="atLeast"/>
          <w:jc w:val="center"/>
        </w:trPr>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1</w:t>
            </w:r>
          </w:p>
        </w:tc>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夏邑县自然资源局</w:t>
            </w: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城市规划区内建设工程规划许可</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（含临时、管线、道路挖掘）</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建设工程设计方案</w:t>
            </w:r>
          </w:p>
        </w:tc>
        <w:tc>
          <w:tcPr>
            <w:tcW w:w="4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《中华人民共和国城乡规划法》</w:t>
            </w:r>
            <w:r>
              <w:rPr>
                <w:rFonts w:hint="eastAsia" w:ascii="文星仿宋" w:hAnsi="文星仿宋" w:eastAsia="文星仿宋" w:cs="文星仿宋"/>
                <w:b w:val="0"/>
                <w:bCs/>
                <w:i w:val="0"/>
                <w:caps w:val="0"/>
                <w:color w:val="000000"/>
                <w:spacing w:val="0"/>
                <w:sz w:val="21"/>
                <w:szCs w:val="21"/>
                <w:shd w:val="clear" w:fill="FFFFFF"/>
              </w:rPr>
              <w:t>（2019年4月23日第二次修正）</w:t>
            </w:r>
            <w:r>
              <w:rPr>
                <w:rFonts w:hint="eastAsia" w:ascii="文星仿宋" w:hAnsi="文星仿宋" w:eastAsia="文星仿宋" w:cs="文星仿宋"/>
                <w:i w:val="0"/>
                <w:color w:val="000000"/>
                <w:kern w:val="0"/>
                <w:sz w:val="21"/>
                <w:szCs w:val="21"/>
                <w:u w:val="none"/>
                <w:lang w:val="en-US" w:eastAsia="zh-CN" w:bidi="ar"/>
              </w:rPr>
              <w:t>第四十条：在城市、镇规划区内进行建筑物、构筑物、道路、管线和其他工程建设的，建设单位或者省、自治区、直辖市人民政府确定的镇人民政府申请办理建设工程规划许可证。申请办理建设工程规划许可证，应当提交使用土地的有关证明文件、建设工程设计方案等材料。需要建设单位编制修建性详细规划。对符合控制性详细规划和规划条件的，由城市、县人民政府城乡规划主管部门或者省、自治区、直辖市人民政府确定的镇人民政府核发建设工程规划许可。城市、县人民政府确定的镇人民政府应当依法将经审定的修建性详细规划、建设工程设计方案的总平面图予以公布。</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有资质的规划设计机构</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双方协商</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市场调节价</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i w:val="0"/>
                <w:color w:val="000000"/>
                <w:sz w:val="21"/>
                <w:szCs w:val="21"/>
                <w:u w:val="none"/>
              </w:rPr>
            </w:pPr>
          </w:p>
        </w:tc>
      </w:tr>
      <w:tr>
        <w:tblPrEx>
          <w:shd w:val="clear" w:color="auto" w:fill="auto"/>
          <w:tblCellMar>
            <w:top w:w="0" w:type="dxa"/>
            <w:left w:w="0" w:type="dxa"/>
            <w:bottom w:w="0" w:type="dxa"/>
            <w:right w:w="0" w:type="dxa"/>
          </w:tblCellMar>
        </w:tblPrEx>
        <w:trPr>
          <w:trHeight w:val="3520" w:hRule="atLeast"/>
          <w:jc w:val="center"/>
        </w:trPr>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2</w:t>
            </w: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i w:val="0"/>
                <w:color w:val="000000"/>
                <w:sz w:val="21"/>
                <w:szCs w:val="21"/>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城市规划区内建设工程规划许可</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（含临时、管线、道路挖掘）</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修建性详细 规划（含日照分析）</w:t>
            </w:r>
          </w:p>
        </w:tc>
        <w:tc>
          <w:tcPr>
            <w:tcW w:w="4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《中华人民共和国城乡规划法》</w:t>
            </w:r>
            <w:r>
              <w:rPr>
                <w:rFonts w:hint="eastAsia" w:ascii="文星仿宋" w:hAnsi="文星仿宋" w:eastAsia="文星仿宋" w:cs="文星仿宋"/>
                <w:b w:val="0"/>
                <w:bCs/>
                <w:i w:val="0"/>
                <w:caps w:val="0"/>
                <w:color w:val="000000"/>
                <w:spacing w:val="0"/>
                <w:sz w:val="21"/>
                <w:szCs w:val="21"/>
                <w:shd w:val="clear" w:fill="FFFFFF"/>
              </w:rPr>
              <w:t>（2019年4月23日第二次修正）</w:t>
            </w:r>
            <w:r>
              <w:rPr>
                <w:rFonts w:hint="eastAsia" w:ascii="文星仿宋" w:hAnsi="文星仿宋" w:eastAsia="文星仿宋" w:cs="文星仿宋"/>
                <w:i w:val="0"/>
                <w:color w:val="000000"/>
                <w:kern w:val="0"/>
                <w:sz w:val="21"/>
                <w:szCs w:val="21"/>
                <w:u w:val="none"/>
                <w:lang w:val="en-US" w:eastAsia="zh-CN" w:bidi="ar"/>
              </w:rPr>
              <w:t>第四十条：在城市、镇规划区内进行建筑物、构筑物、道路、管线和其他工程建设的，建设单位或者省、自治区、直辖市人民政府确定的镇人民政府申请办理建设工程规划许可证。申请办理建设工程规划许可证，应当提交使用土地的有关证明文件、建设工程设计方案等材料。需要建设单位编制修建性详细规划。对符合控制性详细规划和规划条件的，由城市、县人民政府城乡规划主管部门或者省、自治区、直辖市人民政府确定的镇人民政府核发建设工程规划许可。城市、县人民政府确定的镇人民政府应当依法将经审定的修建性详细规划、建设工程设计方案的总平面图予以公布。</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有资质的规划设计机构</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双方协商</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市场调节价</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i w:val="0"/>
                <w:color w:val="000000"/>
                <w:sz w:val="21"/>
                <w:szCs w:val="21"/>
                <w:u w:val="none"/>
              </w:rPr>
            </w:pPr>
          </w:p>
        </w:tc>
      </w:tr>
      <w:tr>
        <w:tblPrEx>
          <w:shd w:val="clear" w:color="auto" w:fill="auto"/>
          <w:tblCellMar>
            <w:top w:w="0" w:type="dxa"/>
            <w:left w:w="0" w:type="dxa"/>
            <w:bottom w:w="0" w:type="dxa"/>
            <w:right w:w="0" w:type="dxa"/>
          </w:tblCellMar>
        </w:tblPrEx>
        <w:trPr>
          <w:trHeight w:val="1010" w:hRule="atLeast"/>
          <w:jc w:val="center"/>
        </w:trPr>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3</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文星仿宋" w:hAnsi="文星仿宋" w:eastAsia="文星仿宋" w:cs="文星仿宋"/>
                <w:i w:val="0"/>
                <w:color w:val="000000"/>
                <w:sz w:val="21"/>
                <w:szCs w:val="21"/>
                <w:u w:val="none"/>
                <w:lang w:val="en-US"/>
              </w:rPr>
            </w:pPr>
            <w:r>
              <w:rPr>
                <w:rFonts w:hint="eastAsia" w:ascii="文星仿宋" w:hAnsi="文星仿宋" w:eastAsia="文星仿宋" w:cs="文星仿宋"/>
                <w:i w:val="0"/>
                <w:color w:val="000000"/>
                <w:kern w:val="0"/>
                <w:sz w:val="21"/>
                <w:szCs w:val="21"/>
                <w:u w:val="none"/>
                <w:lang w:val="en-US" w:eastAsia="zh-CN" w:bidi="ar"/>
              </w:rPr>
              <w:t>夏邑县住房和城乡建设局</w:t>
            </w: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城镇污水排入排水管网许可</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编制排水水质</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、水量检测报告</w:t>
            </w:r>
          </w:p>
        </w:tc>
        <w:tc>
          <w:tcPr>
            <w:tcW w:w="4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aps w:val="0"/>
                <w:color w:val="333333"/>
                <w:spacing w:val="0"/>
                <w:sz w:val="21"/>
                <w:szCs w:val="21"/>
              </w:rPr>
              <w:t>《城镇污水排入排水管网许可管理办法》（住建部令第21号）</w:t>
            </w:r>
            <w:r>
              <w:rPr>
                <w:rFonts w:hint="eastAsia" w:ascii="文星仿宋" w:hAnsi="文星仿宋" w:eastAsia="文星仿宋" w:cs="文星仿宋"/>
                <w:i w:val="0"/>
                <w:color w:val="000000"/>
                <w:kern w:val="0"/>
                <w:sz w:val="21"/>
                <w:szCs w:val="21"/>
                <w:u w:val="none"/>
                <w:lang w:val="en-US" w:eastAsia="zh-CN" w:bidi="ar"/>
              </w:rPr>
              <w:t>第七条第五款：排水许可申请受理之日前一个月内由具有计量认证资质的水质检测机构出具的排水水质、水量检测报告；拟排放污水的排水户提交水质、水量预测报告。</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具有计量认证资质的水质检测机构</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双方协商</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市场调节价</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i w:val="0"/>
                <w:color w:val="000000"/>
                <w:sz w:val="21"/>
                <w:szCs w:val="21"/>
                <w:u w:val="none"/>
              </w:rPr>
            </w:pPr>
          </w:p>
        </w:tc>
      </w:tr>
      <w:tr>
        <w:tblPrEx>
          <w:tblCellMar>
            <w:top w:w="0" w:type="dxa"/>
            <w:left w:w="0" w:type="dxa"/>
            <w:bottom w:w="0" w:type="dxa"/>
            <w:right w:w="0" w:type="dxa"/>
          </w:tblCellMar>
        </w:tblPrEx>
        <w:trPr>
          <w:trHeight w:val="4300" w:hRule="atLeast"/>
          <w:jc w:val="center"/>
        </w:trPr>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4</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夏邑县公安局</w:t>
            </w: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机动车驾驶许可</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身体条件证明</w:t>
            </w:r>
          </w:p>
        </w:tc>
        <w:tc>
          <w:tcPr>
            <w:tcW w:w="4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《机动车驾驶证申领和使用规定》(公安部139号令)第十九条 初次申请机动车驾驶证，应当填写申请表，并提交以下证明：</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　　（一）申请人的身份证明；</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　　（二）县级或者部队团级以上医疗机构出具的有关身体条件的证明。属于申请残疾人专用小型自动挡载客汽车的，应当提交经省级卫生主管部门指定的专门医疗机构出具的有关身体条件的证明。</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　　第二十条 申请增加准驾车型的，应当填写申请表，提交第十九条规定的证明和所持机动车驾驶证。属于接受全日制驾驶职业教育，申请增加大型客车、牵引车准驾车型的，还应当提交学校出具的学籍证明。</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县级或者部队团级以上医疗机构</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按检查项目标准执行</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汽车类30元</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/人；摩托车类20/人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2003年2月13日《河南省人民政府关于取消部分行政事业性收费项目降低部分项目收费标准的决定》</w:t>
            </w:r>
          </w:p>
        </w:tc>
      </w:tr>
      <w:tr>
        <w:tblPrEx>
          <w:shd w:val="clear" w:color="auto" w:fill="auto"/>
          <w:tblCellMar>
            <w:top w:w="0" w:type="dxa"/>
            <w:left w:w="0" w:type="dxa"/>
            <w:bottom w:w="0" w:type="dxa"/>
            <w:right w:w="0" w:type="dxa"/>
          </w:tblCellMar>
        </w:tblPrEx>
        <w:trPr>
          <w:trHeight w:val="3900" w:hRule="atLeast"/>
          <w:jc w:val="center"/>
        </w:trPr>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5</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lang w:val="en-US"/>
              </w:rPr>
            </w:pPr>
            <w:r>
              <w:rPr>
                <w:rFonts w:hint="eastAsia" w:ascii="文星仿宋" w:hAnsi="文星仿宋" w:eastAsia="文星仿宋" w:cs="文星仿宋"/>
                <w:i w:val="0"/>
                <w:color w:val="000000"/>
                <w:kern w:val="0"/>
                <w:sz w:val="21"/>
                <w:szCs w:val="21"/>
                <w:u w:val="none"/>
                <w:lang w:val="en-US" w:eastAsia="zh-CN" w:bidi="ar"/>
              </w:rPr>
              <w:t>夏邑县卫生健康委员会</w:t>
            </w: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公共场所卫生许可</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公共场所卫生检测或者评价报告</w:t>
            </w:r>
          </w:p>
        </w:tc>
        <w:tc>
          <w:tcPr>
            <w:tcW w:w="4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文星仿宋" w:hAnsi="文星仿宋" w:eastAsia="文星仿宋" w:cs="文星仿宋"/>
                <w:i w:val="0"/>
                <w:color w:val="000000"/>
                <w:kern w:val="0"/>
                <w:sz w:val="21"/>
                <w:szCs w:val="21"/>
                <w:u w:val="none"/>
                <w:lang w:val="en-US" w:eastAsia="zh-CN" w:bidi="ar"/>
              </w:rPr>
            </w:pPr>
            <w:r>
              <w:rPr>
                <w:rFonts w:hint="eastAsia" w:ascii="文星仿宋" w:hAnsi="文星仿宋" w:eastAsia="文星仿宋" w:cs="文星仿宋"/>
                <w:i w:val="0"/>
                <w:color w:val="000000"/>
                <w:kern w:val="0"/>
                <w:sz w:val="21"/>
                <w:szCs w:val="21"/>
                <w:u w:val="none"/>
                <w:lang w:val="en-US" w:eastAsia="zh-CN" w:bidi="ar"/>
              </w:rPr>
              <w:t>《公共场所管理条例实施细则》（卫生部令第80号）</w:t>
            </w:r>
          </w:p>
          <w:p>
            <w:pPr>
              <w:keepNext w:val="0"/>
              <w:keepLines w:val="0"/>
              <w:widowControl/>
              <w:suppressLineNumbers w:val="0"/>
              <w:jc w:val="left"/>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 xml:space="preserve"> </w:t>
            </w:r>
            <w:bookmarkStart w:id="0" w:name="_GoBack"/>
            <w:bookmarkEnd w:id="0"/>
            <w:r>
              <w:rPr>
                <w:rFonts w:hint="eastAsia" w:ascii="文星仿宋" w:hAnsi="文星仿宋" w:eastAsia="文星仿宋" w:cs="文星仿宋"/>
                <w:i w:val="0"/>
                <w:color w:val="000000"/>
                <w:kern w:val="0"/>
                <w:sz w:val="21"/>
                <w:szCs w:val="21"/>
                <w:u w:val="none"/>
                <w:lang w:val="en-US" w:eastAsia="zh-CN" w:bidi="ar"/>
              </w:rPr>
              <w:t>第十九条公共场所经营者应当按照卫生标准、规范的要求对公共场所的空气、微小气候、水质、采光、照明、噪声、顾客用品用具等进行卫生检测，检测每年不得少于一次；检测结果不符合卫生标准规范要求的应当及时整改。</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　　公共场所经营者不具备检测能力的，可以委托检测。</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　　公共场所经营者应当在醒目位置如实公示检测结果。</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 xml:space="preserve">    第二十三条　公共场所经营者申请卫生许可证的，应当提交下列资料：…（四）公共场所卫生检测或者评价报告；…</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具有资质的公共场所卫生检验、检测、评价机构</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双方协商</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市场调节价</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i w:val="0"/>
                <w:color w:val="000000"/>
                <w:sz w:val="21"/>
                <w:szCs w:val="21"/>
                <w:u w:val="none"/>
              </w:rPr>
            </w:pPr>
          </w:p>
        </w:tc>
      </w:tr>
      <w:tr>
        <w:tblPrEx>
          <w:shd w:val="clear" w:color="auto" w:fill="auto"/>
          <w:tblCellMar>
            <w:top w:w="0" w:type="dxa"/>
            <w:left w:w="0" w:type="dxa"/>
            <w:bottom w:w="0" w:type="dxa"/>
            <w:right w:w="0" w:type="dxa"/>
          </w:tblCellMar>
        </w:tblPrEx>
        <w:trPr>
          <w:trHeight w:val="4500" w:hRule="atLeast"/>
          <w:jc w:val="center"/>
        </w:trPr>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6</w:t>
            </w:r>
          </w:p>
        </w:tc>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夏邑县民政局</w:t>
            </w: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社会团体登记（成立、变更、注销）</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验资报告（申请成立或办理活动资金变更登记提交）</w:t>
            </w:r>
          </w:p>
        </w:tc>
        <w:tc>
          <w:tcPr>
            <w:tcW w:w="4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aps w:val="0"/>
                <w:color w:val="000000" w:themeColor="text1"/>
                <w:spacing w:val="0"/>
                <w:sz w:val="21"/>
                <w:szCs w:val="21"/>
                <w:shd w:val="clear" w:fill="FFFFFF"/>
                <w14:textFill>
                  <w14:solidFill>
                    <w14:schemeClr w14:val="tx1"/>
                  </w14:solidFill>
                </w14:textFill>
              </w:rPr>
              <w:t>中华人民共和国国务院令第250号《</w:t>
            </w:r>
            <w:r>
              <w:rPr>
                <w:rFonts w:hint="eastAsia" w:ascii="文星仿宋" w:hAnsi="文星仿宋" w:eastAsia="文星仿宋" w:cs="文星仿宋"/>
                <w:i w:val="0"/>
                <w:caps w:val="0"/>
                <w:color w:val="000000" w:themeColor="text1"/>
                <w:spacing w:val="0"/>
                <w:sz w:val="21"/>
                <w:szCs w:val="21"/>
                <w:u w:val="none"/>
                <w:shd w:val="clear" w:fill="FFFFFF"/>
                <w14:textFill>
                  <w14:solidFill>
                    <w14:schemeClr w14:val="tx1"/>
                  </w14:solidFill>
                </w14:textFill>
              </w:rPr>
              <w:fldChar w:fldCharType="begin"/>
            </w:r>
            <w:r>
              <w:rPr>
                <w:rFonts w:hint="eastAsia" w:ascii="文星仿宋" w:hAnsi="文星仿宋" w:eastAsia="文星仿宋" w:cs="文星仿宋"/>
                <w:i w:val="0"/>
                <w:caps w:val="0"/>
                <w:color w:val="000000" w:themeColor="text1"/>
                <w:spacing w:val="0"/>
                <w:sz w:val="21"/>
                <w:szCs w:val="21"/>
                <w:u w:val="none"/>
                <w:shd w:val="clear" w:fill="FFFFFF"/>
                <w14:textFill>
                  <w14:solidFill>
                    <w14:schemeClr w14:val="tx1"/>
                  </w14:solidFill>
                </w14:textFill>
              </w:rPr>
              <w:instrText xml:space="preserve"> HYPERLINK "https://baike.so.com/doc/4831672-5048493.html" \t "https://baike.so.com/doc/_blank" </w:instrText>
            </w:r>
            <w:r>
              <w:rPr>
                <w:rFonts w:hint="eastAsia" w:ascii="文星仿宋" w:hAnsi="文星仿宋" w:eastAsia="文星仿宋" w:cs="文星仿宋"/>
                <w:i w:val="0"/>
                <w:caps w:val="0"/>
                <w:color w:val="000000" w:themeColor="text1"/>
                <w:spacing w:val="0"/>
                <w:sz w:val="21"/>
                <w:szCs w:val="21"/>
                <w:u w:val="none"/>
                <w:shd w:val="clear" w:fill="FFFFFF"/>
                <w14:textFill>
                  <w14:solidFill>
                    <w14:schemeClr w14:val="tx1"/>
                  </w14:solidFill>
                </w14:textFill>
              </w:rPr>
              <w:fldChar w:fldCharType="separate"/>
            </w:r>
            <w:r>
              <w:rPr>
                <w:rStyle w:val="10"/>
                <w:rFonts w:hint="eastAsia" w:ascii="文星仿宋" w:hAnsi="文星仿宋" w:eastAsia="文星仿宋" w:cs="文星仿宋"/>
                <w:i w:val="0"/>
                <w:caps w:val="0"/>
                <w:color w:val="000000" w:themeColor="text1"/>
                <w:spacing w:val="0"/>
                <w:sz w:val="21"/>
                <w:szCs w:val="21"/>
                <w:u w:val="none"/>
                <w:shd w:val="clear" w:fill="FFFFFF"/>
                <w14:textFill>
                  <w14:solidFill>
                    <w14:schemeClr w14:val="tx1"/>
                  </w14:solidFill>
                </w14:textFill>
              </w:rPr>
              <w:t>社会团体登记管理条例</w:t>
            </w:r>
            <w:r>
              <w:rPr>
                <w:rFonts w:hint="eastAsia" w:ascii="文星仿宋" w:hAnsi="文星仿宋" w:eastAsia="文星仿宋" w:cs="文星仿宋"/>
                <w:i w:val="0"/>
                <w:caps w:val="0"/>
                <w:color w:val="000000" w:themeColor="text1"/>
                <w:spacing w:val="0"/>
                <w:sz w:val="21"/>
                <w:szCs w:val="21"/>
                <w:u w:val="none"/>
                <w:shd w:val="clear" w:fill="FFFFFF"/>
                <w14:textFill>
                  <w14:solidFill>
                    <w14:schemeClr w14:val="tx1"/>
                  </w14:solidFill>
                </w14:textFill>
              </w:rPr>
              <w:fldChar w:fldCharType="end"/>
            </w:r>
            <w:r>
              <w:rPr>
                <w:rFonts w:hint="eastAsia" w:ascii="文星仿宋" w:hAnsi="文星仿宋" w:eastAsia="文星仿宋" w:cs="文星仿宋"/>
                <w:i w:val="0"/>
                <w:caps w:val="0"/>
                <w:color w:val="000000" w:themeColor="text1"/>
                <w:spacing w:val="0"/>
                <w:sz w:val="21"/>
                <w:szCs w:val="21"/>
                <w:shd w:val="clear" w:fill="FFFFFF"/>
                <w14:textFill>
                  <w14:solidFill>
                    <w14:schemeClr w14:val="tx1"/>
                  </w14:solidFill>
                </w14:textFill>
              </w:rPr>
              <w:t>》</w:t>
            </w:r>
            <w:r>
              <w:rPr>
                <w:rFonts w:hint="eastAsia" w:ascii="文星仿宋" w:hAnsi="文星仿宋" w:eastAsia="文星仿宋" w:cs="文星仿宋"/>
                <w:i w:val="0"/>
                <w:color w:val="000000"/>
                <w:kern w:val="0"/>
                <w:sz w:val="21"/>
                <w:szCs w:val="21"/>
                <w:u w:val="none"/>
                <w:lang w:val="en-US" w:eastAsia="zh-CN" w:bidi="ar"/>
              </w:rPr>
              <w:t>第十一条："申请 筹备成立社会团体，发起人应当向登记管理机关提交下 列文件…"（三）验资报告、场所使用权证明…第二十条社会团体的登记事项、备案事项需要变更的，应当自业 务主管单位审查同意之日起30日内，向登记管理机关申请变更登记、变更备案...</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河南省《社会团体登记管理条例》实施办法（省政府令第62条）第十四条第一款“社会团体变更名称,应当说明理由;变更住所,应当在迁入新住所前申请变更登记,并提交新住所的产权或使用权证明;变更法定代表人,应当提 交原法定代表人或拟任法定代表人签署的变更登记申请书和社会审计机构出具的财务审计报告;变更活动资金的, 应提交社会审计机构出具的验资报告;变更业务主管单位的,应同时出具该社会团体前后业务主管单位同意的文件。”</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会计师事务所</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双方协商</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市场调节价</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i w:val="0"/>
                <w:color w:val="000000"/>
                <w:sz w:val="21"/>
                <w:szCs w:val="21"/>
                <w:u w:val="none"/>
              </w:rPr>
            </w:pPr>
          </w:p>
        </w:tc>
      </w:tr>
      <w:tr>
        <w:tblPrEx>
          <w:shd w:val="clear" w:color="auto" w:fill="auto"/>
          <w:tblCellMar>
            <w:top w:w="0" w:type="dxa"/>
            <w:left w:w="0" w:type="dxa"/>
            <w:bottom w:w="0" w:type="dxa"/>
            <w:right w:w="0" w:type="dxa"/>
          </w:tblCellMar>
        </w:tblPrEx>
        <w:trPr>
          <w:trHeight w:val="4080" w:hRule="atLeast"/>
          <w:jc w:val="center"/>
        </w:trPr>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7</w:t>
            </w: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i w:val="0"/>
                <w:color w:val="000000"/>
                <w:sz w:val="21"/>
                <w:szCs w:val="21"/>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民办非企业单位登记（成立、变更、注销）</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验资报告（申请成立或办理活动资金变更登记提交）</w:t>
            </w:r>
          </w:p>
        </w:tc>
        <w:tc>
          <w:tcPr>
            <w:tcW w:w="4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《民办非企业单位登记管理暂行条例》国务院令第251号第九条 申请民办非企业单位登记，举办者应当向登记管理机关提交下列文件... （四）验资报告...</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《民办非企业单位登记管理暂行办法》民政部令第18 号第十二条 “民办非企业单位的住所、业务范围、法定代表人或单位负责人、开办资金、业务主管单位发生变更的，除向登记管理机关提交本办法第十一条规定的文件外，还须分别提交下列材料：变更后新住所的产权或使用权证明；变更后的业务范围；变更后法定代表人或单位负责人的身份证明，及本办法第六条第六款涉及的其他材料；变更后的验资报告；原业务主管单位不再承担业务主管的文件。”</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会计师事务所</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双方协商</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市场调节价</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i w:val="0"/>
                <w:color w:val="000000"/>
                <w:sz w:val="21"/>
                <w:szCs w:val="21"/>
                <w:u w:val="none"/>
              </w:rPr>
            </w:pPr>
          </w:p>
        </w:tc>
      </w:tr>
      <w:tr>
        <w:tblPrEx>
          <w:tblCellMar>
            <w:top w:w="0" w:type="dxa"/>
            <w:left w:w="0" w:type="dxa"/>
            <w:bottom w:w="0" w:type="dxa"/>
            <w:right w:w="0" w:type="dxa"/>
          </w:tblCellMar>
        </w:tblPrEx>
        <w:trPr>
          <w:trHeight w:val="3020" w:hRule="atLeast"/>
          <w:jc w:val="center"/>
        </w:trPr>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8</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夏邑县自然资源局</w:t>
            </w: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林木采伐许可证核发</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采伐区调查设计文件</w:t>
            </w:r>
          </w:p>
        </w:tc>
        <w:tc>
          <w:tcPr>
            <w:tcW w:w="4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中华人民共和国森林法实施条例》（国务院令第278号）第三十条：“申请林木采伐许可证，除应当提交申请采伐林木的所有权证书或者使用权证书外，还应当按照下列规定提交其他有关证明文件：（一）国有林业企业事业单位还应当提交采伐区调查设计文件和上年度采伐更新验收证明；……”</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具有有林业调查规划设计资质机构</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双方协商</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市场调节价</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i w:val="0"/>
                <w:color w:val="000000"/>
                <w:sz w:val="21"/>
                <w:szCs w:val="21"/>
                <w:u w:val="none"/>
              </w:rPr>
            </w:pPr>
          </w:p>
        </w:tc>
      </w:tr>
      <w:tr>
        <w:tblPrEx>
          <w:shd w:val="clear" w:color="auto" w:fill="auto"/>
          <w:tblCellMar>
            <w:top w:w="0" w:type="dxa"/>
            <w:left w:w="0" w:type="dxa"/>
            <w:bottom w:w="0" w:type="dxa"/>
            <w:right w:w="0" w:type="dxa"/>
          </w:tblCellMar>
        </w:tblPrEx>
        <w:trPr>
          <w:trHeight w:val="2800" w:hRule="atLeast"/>
          <w:jc w:val="center"/>
        </w:trPr>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9</w:t>
            </w:r>
          </w:p>
        </w:tc>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lang w:val="en-US"/>
              </w:rPr>
            </w:pPr>
            <w:r>
              <w:rPr>
                <w:rFonts w:hint="eastAsia" w:ascii="文星仿宋" w:hAnsi="文星仿宋" w:eastAsia="文星仿宋" w:cs="文星仿宋"/>
                <w:i w:val="0"/>
                <w:color w:val="000000"/>
                <w:kern w:val="0"/>
                <w:sz w:val="21"/>
                <w:szCs w:val="21"/>
                <w:u w:val="none"/>
                <w:lang w:val="en-US" w:eastAsia="zh-CN" w:bidi="ar"/>
              </w:rPr>
              <w:t>夏邑县农业农村局</w:t>
            </w: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拖拉机和联合收割机注册登记</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拖拉机和联合收割机的安全技术检验</w:t>
            </w:r>
          </w:p>
        </w:tc>
        <w:tc>
          <w:tcPr>
            <w:tcW w:w="4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《中华人民共和国道路交通安全法》（2011年修正）第八条</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《农业机械安全监督管理条例》（2019年修订）第二十一条</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县农机监理站</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1个工作日</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免费</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文星仿宋" w:hAnsi="文星仿宋" w:eastAsia="文星仿宋" w:cs="文星仿宋"/>
                <w:b w:val="0"/>
                <w:bCs/>
                <w:i w:val="0"/>
                <w:caps w:val="0"/>
                <w:color w:val="1A4C7F"/>
                <w:spacing w:val="0"/>
                <w:sz w:val="21"/>
                <w:szCs w:val="21"/>
              </w:rPr>
            </w:pPr>
            <w:r>
              <w:rPr>
                <w:rFonts w:hint="eastAsia" w:ascii="文星仿宋" w:hAnsi="文星仿宋" w:eastAsia="文星仿宋" w:cs="文星仿宋"/>
                <w:b w:val="0"/>
                <w:bCs/>
                <w:i w:val="0"/>
                <w:color w:val="000000" w:themeColor="text1"/>
                <w:kern w:val="0"/>
                <w:sz w:val="21"/>
                <w:szCs w:val="21"/>
                <w:u w:val="none"/>
                <w:lang w:val="en-US" w:eastAsia="zh-CN" w:bidi="ar"/>
                <w14:textFill>
                  <w14:solidFill>
                    <w14:schemeClr w14:val="tx1"/>
                  </w14:solidFill>
                </w14:textFill>
              </w:rPr>
              <w:t>财税</w:t>
            </w:r>
            <w:r>
              <w:rPr>
                <w:rFonts w:hint="eastAsia" w:ascii="文星仿宋" w:hAnsi="文星仿宋" w:eastAsia="文星仿宋" w:cs="文星仿宋"/>
                <w:b w:val="0"/>
                <w:bCs/>
                <w:i w:val="0"/>
                <w:color w:val="000000" w:themeColor="text1"/>
                <w:kern w:val="0"/>
                <w:sz w:val="21"/>
                <w:szCs w:val="21"/>
                <w:u w:val="none"/>
                <w:lang w:val="en-US" w:eastAsia="zh-CN" w:bidi="ar"/>
                <w14:textFill>
                  <w14:solidFill>
                    <w14:schemeClr w14:val="tx1"/>
                  </w14:solidFill>
                </w14:textFill>
              </w:rPr>
              <w:br w:type="textWrapping"/>
            </w:r>
            <w:r>
              <w:rPr>
                <w:rFonts w:hint="eastAsia" w:ascii="文星仿宋" w:hAnsi="文星仿宋" w:eastAsia="文星仿宋" w:cs="文星仿宋"/>
                <w:b w:val="0"/>
                <w:bCs/>
                <w:i w:val="0"/>
                <w:color w:val="000000" w:themeColor="text1"/>
                <w:kern w:val="0"/>
                <w:sz w:val="21"/>
                <w:szCs w:val="21"/>
                <w:u w:val="none"/>
                <w:lang w:val="en-US" w:eastAsia="zh-CN" w:bidi="ar"/>
                <w14:textFill>
                  <w14:solidFill>
                    <w14:schemeClr w14:val="tx1"/>
                  </w14:solidFill>
                </w14:textFill>
              </w:rPr>
              <w:t>【2016】42号</w:t>
            </w:r>
            <w:r>
              <w:rPr>
                <w:rFonts w:hint="eastAsia" w:ascii="文星仿宋" w:hAnsi="文星仿宋" w:eastAsia="文星仿宋" w:cs="文星仿宋"/>
                <w:b w:val="0"/>
                <w:bCs/>
                <w:i w:val="0"/>
                <w:caps w:val="0"/>
                <w:color w:val="000000" w:themeColor="text1"/>
                <w:spacing w:val="0"/>
                <w:sz w:val="21"/>
                <w:szCs w:val="21"/>
                <w:shd w:val="clear" w:fill="FFFFFF"/>
                <w14:textFill>
                  <w14:solidFill>
                    <w14:schemeClr w14:val="tx1"/>
                  </w14:solidFill>
                </w14:textFill>
              </w:rPr>
              <w:t>国家发展改革委关于扩大18项行政事业性收费免征范围的通知</w:t>
            </w:r>
          </w:p>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r>
      <w:tr>
        <w:tblPrEx>
          <w:tblCellMar>
            <w:top w:w="0" w:type="dxa"/>
            <w:left w:w="0" w:type="dxa"/>
            <w:bottom w:w="0" w:type="dxa"/>
            <w:right w:w="0" w:type="dxa"/>
          </w:tblCellMar>
        </w:tblPrEx>
        <w:trPr>
          <w:trHeight w:val="2520" w:hRule="atLeast"/>
          <w:jc w:val="center"/>
        </w:trPr>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10</w:t>
            </w: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i w:val="0"/>
                <w:color w:val="000000"/>
                <w:sz w:val="21"/>
                <w:szCs w:val="21"/>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拖拉机和联合收割机驾驶证申领、增驾、换领</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驾驶人员身体条件证明</w:t>
            </w:r>
          </w:p>
        </w:tc>
        <w:tc>
          <w:tcPr>
            <w:tcW w:w="4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《中华人民共和国道路交通安全法》（2011年修正）第十九条</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《农业机械安全监督管理条例》（2019年修订）第二十二条</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《拖拉机和联合收割机驾驶证管理规定》（农业部令2018年第1号）</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第七条、第十三条、第二十四条</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乡镇或社区以上医疗机构</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1个工作日</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i w:val="0"/>
                <w:color w:val="000000"/>
                <w:sz w:val="21"/>
                <w:szCs w:val="21"/>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i w:val="0"/>
                <w:color w:val="000000"/>
                <w:sz w:val="21"/>
                <w:szCs w:val="21"/>
                <w:u w:val="none"/>
              </w:rPr>
            </w:pPr>
          </w:p>
        </w:tc>
      </w:tr>
      <w:tr>
        <w:tblPrEx>
          <w:tblCellMar>
            <w:top w:w="0" w:type="dxa"/>
            <w:left w:w="0" w:type="dxa"/>
            <w:bottom w:w="0" w:type="dxa"/>
            <w:right w:w="0" w:type="dxa"/>
          </w:tblCellMar>
        </w:tblPrEx>
        <w:trPr>
          <w:trHeight w:val="3300" w:hRule="atLeast"/>
          <w:jc w:val="center"/>
        </w:trPr>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11</w:t>
            </w:r>
          </w:p>
        </w:tc>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夏邑县交通运输局</w:t>
            </w: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道路旅客运输经营许可；县内客运业户开业、增项经营许可；车辆运营证核发</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机动车综合性能检验报告单</w:t>
            </w:r>
          </w:p>
        </w:tc>
        <w:tc>
          <w:tcPr>
            <w:tcW w:w="4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kern w:val="0"/>
                <w:sz w:val="21"/>
                <w:szCs w:val="21"/>
                <w:u w:val="none"/>
                <w:lang w:val="en-US" w:eastAsia="zh-CN" w:bidi="ar"/>
              </w:rPr>
            </w:pPr>
            <w:r>
              <w:rPr>
                <w:rFonts w:hint="eastAsia" w:ascii="文星仿宋" w:hAnsi="文星仿宋" w:eastAsia="文星仿宋" w:cs="文星仿宋"/>
                <w:i w:val="0"/>
                <w:color w:val="000000"/>
                <w:kern w:val="0"/>
                <w:sz w:val="21"/>
                <w:szCs w:val="21"/>
                <w:u w:val="none"/>
                <w:lang w:val="en-US" w:eastAsia="zh-CN" w:bidi="ar"/>
              </w:rPr>
              <w:t>《中华人民共和国道路运输条例》（2019年修订）</w:t>
            </w:r>
          </w:p>
          <w:p>
            <w:pPr>
              <w:keepNext w:val="0"/>
              <w:keepLines w:val="0"/>
              <w:widowControl/>
              <w:suppressLineNumbers w:val="0"/>
              <w:jc w:val="center"/>
              <w:textAlignment w:val="center"/>
              <w:rPr>
                <w:rFonts w:hint="eastAsia" w:ascii="文星仿宋" w:hAnsi="文星仿宋" w:eastAsia="文星仿宋" w:cs="文星仿宋"/>
                <w:i w:val="0"/>
                <w:color w:val="000000"/>
                <w:kern w:val="0"/>
                <w:sz w:val="21"/>
                <w:szCs w:val="21"/>
                <w:u w:val="none"/>
                <w:lang w:val="en-US" w:eastAsia="zh-CN" w:bidi="ar"/>
              </w:rPr>
            </w:pPr>
            <w:r>
              <w:rPr>
                <w:rFonts w:hint="eastAsia" w:ascii="文星仿宋" w:hAnsi="文星仿宋" w:eastAsia="文星仿宋" w:cs="文星仿宋"/>
                <w:i w:val="0"/>
                <w:color w:val="000000"/>
                <w:kern w:val="0"/>
                <w:sz w:val="21"/>
                <w:szCs w:val="21"/>
                <w:u w:val="none"/>
                <w:lang w:val="en-US" w:eastAsia="zh-CN" w:bidi="ar"/>
              </w:rPr>
              <w:t>第八条、第九条、第十条</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具有相应 资质的检测机构均可办理</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委托双方协商</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市场调节价</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i w:val="0"/>
                <w:color w:val="000000"/>
                <w:sz w:val="21"/>
                <w:szCs w:val="21"/>
                <w:u w:val="none"/>
              </w:rPr>
            </w:pPr>
          </w:p>
        </w:tc>
      </w:tr>
      <w:tr>
        <w:tblPrEx>
          <w:tblCellMar>
            <w:top w:w="0" w:type="dxa"/>
            <w:left w:w="0" w:type="dxa"/>
            <w:bottom w:w="0" w:type="dxa"/>
            <w:right w:w="0" w:type="dxa"/>
          </w:tblCellMar>
        </w:tblPrEx>
        <w:trPr>
          <w:trHeight w:val="2320" w:hRule="atLeast"/>
          <w:jc w:val="center"/>
        </w:trPr>
        <w:tc>
          <w:tcPr>
            <w:tcW w:w="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12</w:t>
            </w: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i w:val="0"/>
                <w:color w:val="000000"/>
                <w:sz w:val="21"/>
                <w:szCs w:val="21"/>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道路普通货物运输经营许可</w:t>
            </w:r>
          </w:p>
        </w:tc>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机动车综合性能检验报告单</w:t>
            </w:r>
          </w:p>
        </w:tc>
        <w:tc>
          <w:tcPr>
            <w:tcW w:w="4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kern w:val="0"/>
                <w:sz w:val="21"/>
                <w:szCs w:val="21"/>
                <w:u w:val="none"/>
                <w:lang w:val="en-US" w:eastAsia="zh-CN" w:bidi="ar"/>
              </w:rPr>
            </w:pPr>
            <w:r>
              <w:rPr>
                <w:rFonts w:hint="eastAsia" w:ascii="文星仿宋" w:hAnsi="文星仿宋" w:eastAsia="文星仿宋" w:cs="文星仿宋"/>
                <w:i w:val="0"/>
                <w:color w:val="000000"/>
                <w:kern w:val="0"/>
                <w:sz w:val="21"/>
                <w:szCs w:val="21"/>
                <w:u w:val="none"/>
                <w:lang w:val="en-US" w:eastAsia="zh-CN" w:bidi="ar"/>
              </w:rPr>
              <w:t>《中华人民共和国道路运输条例》（2019年修订）</w:t>
            </w:r>
          </w:p>
          <w:p>
            <w:pPr>
              <w:keepNext w:val="0"/>
              <w:keepLines w:val="0"/>
              <w:widowControl/>
              <w:suppressLineNumbers w:val="0"/>
              <w:jc w:val="center"/>
              <w:textAlignment w:val="center"/>
              <w:rPr>
                <w:rFonts w:hint="eastAsia" w:ascii="文星仿宋" w:hAnsi="文星仿宋" w:eastAsia="文星仿宋" w:cs="文星仿宋"/>
                <w:i w:val="0"/>
                <w:color w:val="000000"/>
                <w:kern w:val="0"/>
                <w:sz w:val="21"/>
                <w:szCs w:val="21"/>
                <w:u w:val="none"/>
                <w:lang w:val="en-US" w:eastAsia="zh-CN" w:bidi="ar"/>
              </w:rPr>
            </w:pPr>
            <w:r>
              <w:rPr>
                <w:rFonts w:hint="eastAsia" w:ascii="文星仿宋" w:hAnsi="文星仿宋" w:eastAsia="文星仿宋" w:cs="文星仿宋"/>
                <w:i w:val="0"/>
                <w:color w:val="000000"/>
                <w:kern w:val="0"/>
                <w:sz w:val="21"/>
                <w:szCs w:val="21"/>
                <w:u w:val="none"/>
                <w:lang w:val="en-US" w:eastAsia="zh-CN" w:bidi="ar"/>
              </w:rPr>
              <w:t>第二十一条、第二十二条、第二十三条、第二十四条</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具有相应资质的检测机构均可办理</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委托双方协商</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市场调节价</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文星仿宋" w:hAnsi="文星仿宋" w:eastAsia="文星仿宋" w:cs="文星仿宋"/>
                <w:i w:val="0"/>
                <w:color w:val="000000"/>
                <w:sz w:val="21"/>
                <w:szCs w:val="21"/>
                <w:u w:val="none"/>
              </w:rPr>
            </w:pPr>
          </w:p>
        </w:tc>
      </w:tr>
    </w:tbl>
    <w:p>
      <w:pPr>
        <w:jc w:val="both"/>
        <w:rPr>
          <w:rFonts w:hint="default" w:ascii="仿宋" w:hAnsi="仿宋" w:eastAsia="仿宋" w:cs="仿宋"/>
          <w:i w:val="0"/>
          <w:caps w:val="0"/>
          <w:color w:val="auto"/>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文星黑体">
    <w:panose1 w:val="02010604000101010101"/>
    <w:charset w:val="86"/>
    <w:family w:val="auto"/>
    <w:pitch w:val="default"/>
    <w:sig w:usb0="00000001" w:usb1="080E0000" w:usb2="00000000" w:usb3="00000000" w:csb0="00040001" w:csb1="00000000"/>
  </w:font>
  <w:font w:name="文星仿宋">
    <w:panose1 w:val="02010604000101010101"/>
    <w:charset w:val="86"/>
    <w:family w:val="auto"/>
    <w:pitch w:val="default"/>
    <w:sig w:usb0="00000001" w:usb1="080E0000" w:usb2="00000000" w:usb3="00000000" w:csb0="00040001" w:csb1="00000000"/>
  </w:font>
  <w:font w:name="文星标宋">
    <w:panose1 w:val="02010604000101010101"/>
    <w:charset w:val="86"/>
    <w:family w:val="auto"/>
    <w:pitch w:val="default"/>
    <w:sig w:usb0="00000001"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FE3A9D"/>
    <w:rsid w:val="16903139"/>
    <w:rsid w:val="1DC96CC0"/>
    <w:rsid w:val="21B97401"/>
    <w:rsid w:val="249F4FEC"/>
    <w:rsid w:val="40400673"/>
    <w:rsid w:val="42D672AD"/>
    <w:rsid w:val="4CC52EA4"/>
    <w:rsid w:val="4E0264AB"/>
    <w:rsid w:val="4FAE1776"/>
    <w:rsid w:val="584454F5"/>
    <w:rsid w:val="789333D9"/>
    <w:rsid w:val="7D234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555555"/>
      <w:u w:val="none"/>
    </w:rPr>
  </w:style>
  <w:style w:type="character" w:styleId="6">
    <w:name w:val="Emphasis"/>
    <w:basedOn w:val="4"/>
    <w:qFormat/>
    <w:uiPriority w:val="0"/>
  </w:style>
  <w:style w:type="character" w:styleId="7">
    <w:name w:val="HTML Definition"/>
    <w:basedOn w:val="4"/>
    <w:qFormat/>
    <w:uiPriority w:val="0"/>
  </w:style>
  <w:style w:type="character" w:styleId="8">
    <w:name w:val="HTML Acronym"/>
    <w:basedOn w:val="4"/>
    <w:qFormat/>
    <w:uiPriority w:val="0"/>
  </w:style>
  <w:style w:type="character" w:styleId="9">
    <w:name w:val="HTML Variable"/>
    <w:basedOn w:val="4"/>
    <w:uiPriority w:val="0"/>
  </w:style>
  <w:style w:type="character" w:styleId="10">
    <w:name w:val="Hyperlink"/>
    <w:basedOn w:val="4"/>
    <w:uiPriority w:val="0"/>
    <w:rPr>
      <w:color w:val="555555"/>
      <w:u w:val="none"/>
    </w:rPr>
  </w:style>
  <w:style w:type="character" w:styleId="11">
    <w:name w:val="HTML Code"/>
    <w:basedOn w:val="4"/>
    <w:uiPriority w:val="0"/>
    <w:rPr>
      <w:rFonts w:ascii="Courier New" w:hAnsi="Courier New"/>
      <w:sz w:val="20"/>
    </w:rPr>
  </w:style>
  <w:style w:type="character" w:styleId="12">
    <w:name w:val="HTML Cite"/>
    <w:basedOn w:val="4"/>
    <w:qFormat/>
    <w:uiPriority w:val="0"/>
  </w:style>
  <w:style w:type="character" w:customStyle="1" w:styleId="13">
    <w:name w:val="current"/>
    <w:basedOn w:val="4"/>
    <w:uiPriority w:val="0"/>
    <w:rPr>
      <w:b/>
      <w:color w:val="FFFFFF"/>
      <w:u w:val="none"/>
      <w:bdr w:val="single" w:color="CC0000" w:sz="6" w:space="0"/>
      <w:shd w:val="clear" w:fill="036CC2"/>
    </w:rPr>
  </w:style>
  <w:style w:type="character" w:customStyle="1" w:styleId="14">
    <w:name w:val="disabled"/>
    <w:basedOn w:val="4"/>
    <w:uiPriority w:val="0"/>
    <w:rPr>
      <w:color w:val="999999"/>
      <w:bdr w:val="single" w:color="C5C5C5"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孙宇</dc:creator>
  <cp:lastModifiedBy>慧心</cp:lastModifiedBy>
  <cp:lastPrinted>2020-07-24T01:40:00Z</cp:lastPrinted>
  <dcterms:modified xsi:type="dcterms:W3CDTF">2020-07-24T02:39:31Z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