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after="0" w:line="580" w:lineRule="exact"/>
        <w:jc w:val="left"/>
        <w:rPr>
          <w:rFonts w:hint="eastAsia" w:ascii="文星黑体" w:hAnsi="文星黑体" w:eastAsia="文星黑体" w:cs="文星黑体"/>
          <w:kern w:val="0"/>
          <w:sz w:val="32"/>
          <w:szCs w:val="32"/>
          <w:lang w:val="en-US" w:eastAsia="zh-CN"/>
        </w:rPr>
      </w:pPr>
      <w:r>
        <w:rPr>
          <w:rFonts w:hint="eastAsia" w:ascii="文星黑体" w:hAnsi="文星黑体" w:eastAsia="文星黑体" w:cs="文星黑体"/>
          <w:kern w:val="0"/>
          <w:sz w:val="32"/>
          <w:szCs w:val="32"/>
          <w:lang w:eastAsia="zh-CN"/>
        </w:rPr>
        <w:t>附</w:t>
      </w:r>
      <w:r>
        <w:rPr>
          <w:rFonts w:hint="eastAsia" w:ascii="文星黑体" w:hAnsi="文星黑体" w:eastAsia="文星黑体" w:cs="文星黑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文星黑体" w:hAnsi="文星黑体" w:eastAsia="文星黑体" w:cs="文星黑体"/>
          <w:kern w:val="0"/>
          <w:sz w:val="32"/>
          <w:szCs w:val="32"/>
          <w:lang w:eastAsia="zh-CN"/>
        </w:rPr>
        <w:t>件</w:t>
      </w:r>
    </w:p>
    <w:p>
      <w:pPr>
        <w:pStyle w:val="3"/>
        <w:adjustRightInd w:val="0"/>
        <w:snapToGrid w:val="0"/>
        <w:spacing w:after="0" w:line="580" w:lineRule="exact"/>
        <w:jc w:val="center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pStyle w:val="3"/>
        <w:adjustRightInd w:val="0"/>
        <w:snapToGrid w:val="0"/>
        <w:spacing w:after="0" w:line="580" w:lineRule="exact"/>
        <w:jc w:val="center"/>
        <w:rPr>
          <w:rFonts w:hint="eastAsia" w:ascii="文星标宋" w:hAnsi="文星标宋" w:eastAsia="文星标宋" w:cs="文星标宋"/>
          <w:kern w:val="0"/>
          <w:sz w:val="44"/>
          <w:szCs w:val="44"/>
        </w:rPr>
      </w:pPr>
      <w:r>
        <w:rPr>
          <w:rFonts w:hint="eastAsia" w:ascii="文星标宋" w:hAnsi="文星标宋" w:eastAsia="文星标宋" w:cs="文星标宋"/>
          <w:kern w:val="0"/>
          <w:sz w:val="44"/>
          <w:szCs w:val="44"/>
        </w:rPr>
        <w:t>“十四五”时期夏邑气象发展主要指标</w:t>
      </w:r>
    </w:p>
    <w:p>
      <w:pPr>
        <w:pStyle w:val="3"/>
        <w:adjustRightInd w:val="0"/>
        <w:snapToGrid w:val="0"/>
        <w:spacing w:after="0" w:line="580" w:lineRule="exact"/>
        <w:jc w:val="center"/>
        <w:rPr>
          <w:rFonts w:hint="eastAsia" w:ascii="文星标宋" w:hAnsi="文星标宋" w:eastAsia="文星标宋" w:cs="文星标宋"/>
          <w:kern w:val="0"/>
          <w:sz w:val="44"/>
          <w:szCs w:val="44"/>
        </w:rPr>
      </w:pPr>
    </w:p>
    <w:tbl>
      <w:tblPr>
        <w:tblStyle w:val="7"/>
        <w:tblW w:w="8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2862"/>
        <w:gridCol w:w="823"/>
        <w:gridCol w:w="993"/>
        <w:gridCol w:w="992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b/>
                <w:bCs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4138" w:type="dxa"/>
            <w:gridSpan w:val="2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b/>
                <w:bCs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b/>
                <w:bCs w:val="0"/>
                <w:sz w:val="24"/>
                <w:szCs w:val="24"/>
              </w:rPr>
              <w:t>主要指标</w:t>
            </w: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b/>
                <w:bCs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b/>
                <w:bCs w:val="0"/>
                <w:sz w:val="24"/>
                <w:szCs w:val="24"/>
              </w:rPr>
              <w:t>单位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b/>
                <w:bCs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b/>
                <w:bCs w:val="0"/>
                <w:sz w:val="24"/>
                <w:szCs w:val="24"/>
              </w:rPr>
              <w:t>现状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b/>
                <w:bCs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b/>
                <w:bCs w:val="0"/>
                <w:sz w:val="24"/>
                <w:szCs w:val="24"/>
              </w:rPr>
              <w:t>目标</w:t>
            </w:r>
          </w:p>
        </w:tc>
        <w:tc>
          <w:tcPr>
            <w:tcW w:w="1302" w:type="dxa"/>
            <w:vAlign w:val="top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b/>
                <w:bCs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b/>
                <w:bCs w:val="0"/>
                <w:sz w:val="24"/>
                <w:szCs w:val="24"/>
              </w:rPr>
              <w:t>指标属性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科技创新</w:t>
            </w:r>
          </w:p>
        </w:tc>
        <w:tc>
          <w:tcPr>
            <w:tcW w:w="286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气象科技成果转化率</w:t>
            </w: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60</w:t>
            </w:r>
          </w:p>
        </w:tc>
        <w:tc>
          <w:tcPr>
            <w:tcW w:w="1302" w:type="dxa"/>
            <w:vAlign w:val="top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研发经费年均增长率</w:t>
            </w: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16</w:t>
            </w:r>
          </w:p>
        </w:tc>
        <w:tc>
          <w:tcPr>
            <w:tcW w:w="1302" w:type="dxa"/>
            <w:vAlign w:val="top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3"/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精细服务</w:t>
            </w:r>
          </w:p>
        </w:tc>
        <w:tc>
          <w:tcPr>
            <w:tcW w:w="286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预警信息应急责任人覆盖率</w:t>
            </w: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302" w:type="dxa"/>
            <w:vAlign w:val="top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3"/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公众气象服务满意度</w:t>
            </w: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分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86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91</w:t>
            </w:r>
          </w:p>
        </w:tc>
        <w:tc>
          <w:tcPr>
            <w:tcW w:w="1302" w:type="dxa"/>
            <w:vAlign w:val="top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3"/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  <w:highlight w:val="yellow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人工增雨（雪）作业影响覆盖率</w:t>
            </w: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100</w:t>
            </w:r>
          </w:p>
        </w:tc>
        <w:tc>
          <w:tcPr>
            <w:tcW w:w="1302" w:type="dxa"/>
            <w:vAlign w:val="top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3"/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精准预报</w:t>
            </w:r>
          </w:p>
        </w:tc>
        <w:tc>
          <w:tcPr>
            <w:tcW w:w="286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24小时晴雨预报准确率</w:t>
            </w: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89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≥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90</w:t>
            </w:r>
          </w:p>
        </w:tc>
        <w:tc>
          <w:tcPr>
            <w:tcW w:w="1302" w:type="dxa"/>
            <w:vAlign w:val="top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3"/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24小时温度预报准确率</w:t>
            </w: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82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≥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84</w:t>
            </w:r>
          </w:p>
        </w:tc>
        <w:tc>
          <w:tcPr>
            <w:tcW w:w="1302" w:type="dxa"/>
            <w:vAlign w:val="top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3"/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短临网格预报时间分辨率</w:t>
            </w: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分钟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10—30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6</w:t>
            </w:r>
          </w:p>
        </w:tc>
        <w:tc>
          <w:tcPr>
            <w:tcW w:w="1302" w:type="dxa"/>
            <w:vAlign w:val="top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3"/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短临网格预报空间分辨率</w:t>
            </w: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km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3—5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1—3</w:t>
            </w:r>
          </w:p>
        </w:tc>
        <w:tc>
          <w:tcPr>
            <w:tcW w:w="1302" w:type="dxa"/>
            <w:vAlign w:val="top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3"/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强对流天气预警提前量</w:t>
            </w: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分钟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45</w:t>
            </w:r>
          </w:p>
        </w:tc>
        <w:tc>
          <w:tcPr>
            <w:tcW w:w="1302" w:type="dxa"/>
            <w:vAlign w:val="top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3"/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精密监测</w:t>
            </w:r>
          </w:p>
        </w:tc>
        <w:tc>
          <w:tcPr>
            <w:tcW w:w="286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地面气象观测要素覆盖度</w:t>
            </w: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84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90</w:t>
            </w:r>
          </w:p>
        </w:tc>
        <w:tc>
          <w:tcPr>
            <w:tcW w:w="1302" w:type="dxa"/>
            <w:vAlign w:val="top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3"/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气象观测数据可用率</w:t>
            </w: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78.6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85</w:t>
            </w:r>
          </w:p>
        </w:tc>
        <w:tc>
          <w:tcPr>
            <w:tcW w:w="1302" w:type="dxa"/>
            <w:vAlign w:val="top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pStyle w:val="3"/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气象信息化</w:t>
            </w:r>
          </w:p>
        </w:tc>
        <w:tc>
          <w:tcPr>
            <w:tcW w:w="286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市—县网络带宽</w:t>
            </w: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Mbps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≥100</w:t>
            </w:r>
          </w:p>
        </w:tc>
        <w:tc>
          <w:tcPr>
            <w:tcW w:w="1302" w:type="dxa"/>
            <w:vAlign w:val="top"/>
          </w:tcPr>
          <w:p>
            <w:pPr>
              <w:adjustRightInd w:val="0"/>
              <w:snapToGrid w:val="0"/>
              <w:spacing w:after="0" w:line="58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预期性</w:t>
            </w:r>
          </w:p>
        </w:tc>
      </w:tr>
    </w:tbl>
    <w:p>
      <w:pPr>
        <w:rPr>
          <w:rFonts w:hint="eastAsia" w:ascii="文星仿宋" w:hAnsi="文星仿宋" w:eastAsia="文星仿宋" w:cs="文星仿宋"/>
          <w:sz w:val="24"/>
          <w:szCs w:val="24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楷体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文星仿宋" w:hAnsi="文星仿宋" w:eastAsia="文星仿宋" w:cs="文星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文星仿宋" w:hAnsi="文星仿宋" w:eastAsia="文星仿宋" w:cs="文星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文星仿宋" w:hAnsi="文星仿宋" w:eastAsia="文星仿宋" w:cs="文星仿宋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文星仿宋" w:hAnsi="文星仿宋" w:eastAsia="文星仿宋" w:cs="文星仿宋"/>
                              <w:b w:val="0"/>
                              <w:bCs w:val="0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文星仿宋" w:hAnsi="文星仿宋" w:eastAsia="文星仿宋" w:cs="文星仿宋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文星仿宋" w:hAnsi="文星仿宋" w:eastAsia="文星仿宋" w:cs="文星仿宋"/>
                              <w:b w:val="0"/>
                              <w:bCs w:val="0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文星仿宋" w:hAnsi="文星仿宋" w:eastAsia="文星仿宋" w:cs="文星仿宋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文星仿宋" w:hAnsi="文星仿宋" w:eastAsia="文星仿宋" w:cs="文星仿宋"/>
                              <w:b w:val="0"/>
                              <w:bCs w:val="0"/>
                              <w:sz w:val="24"/>
                              <w:szCs w:val="24"/>
                              <w:lang w:val="en-US" w:eastAsia="zh-CN"/>
                            </w:rPr>
                            <w:t>9</w:t>
                          </w:r>
                          <w:r>
                            <w:rPr>
                              <w:rFonts w:hint="eastAsia" w:ascii="文星仿宋" w:hAnsi="文星仿宋" w:eastAsia="文星仿宋" w:cs="文星仿宋"/>
                              <w:b w:val="0"/>
                              <w:bCs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="文星仿宋" w:hAnsi="文星仿宋" w:eastAsia="文星仿宋" w:cs="文星仿宋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文星仿宋" w:hAnsi="文星仿宋" w:eastAsia="文星仿宋" w:cs="文星仿宋"/>
                        <w:sz w:val="28"/>
                        <w:szCs w:val="28"/>
                      </w:rPr>
                    </w:pPr>
                    <w:r>
                      <w:rPr>
                        <w:rFonts w:hint="eastAsia" w:ascii="文星仿宋" w:hAnsi="文星仿宋" w:eastAsia="文星仿宋" w:cs="文星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文星仿宋" w:hAnsi="文星仿宋" w:eastAsia="文星仿宋" w:cs="文星仿宋"/>
                        <w:b w:val="0"/>
                        <w:bCs w:val="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文星仿宋" w:hAnsi="文星仿宋" w:eastAsia="文星仿宋" w:cs="文星仿宋"/>
                        <w:b w:val="0"/>
                        <w:bCs w:val="0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文星仿宋" w:hAnsi="文星仿宋" w:eastAsia="文星仿宋" w:cs="文星仿宋"/>
                        <w:b w:val="0"/>
                        <w:bCs w:val="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文星仿宋" w:hAnsi="文星仿宋" w:eastAsia="文星仿宋" w:cs="文星仿宋"/>
                        <w:b w:val="0"/>
                        <w:bCs w:val="0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文星仿宋" w:hAnsi="文星仿宋" w:eastAsia="文星仿宋" w:cs="文星仿宋"/>
                        <w:b w:val="0"/>
                        <w:bCs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文星仿宋" w:hAnsi="文星仿宋" w:eastAsia="文星仿宋" w:cs="文星仿宋"/>
                        <w:b w:val="0"/>
                        <w:bCs w:val="0"/>
                        <w:sz w:val="24"/>
                        <w:szCs w:val="24"/>
                        <w:lang w:val="en-US" w:eastAsia="zh-CN"/>
                      </w:rPr>
                      <w:t>9</w:t>
                    </w:r>
                    <w:r>
                      <w:rPr>
                        <w:rFonts w:hint="eastAsia" w:ascii="文星仿宋" w:hAnsi="文星仿宋" w:eastAsia="文星仿宋" w:cs="文星仿宋"/>
                        <w:b w:val="0"/>
                        <w:bCs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="文星仿宋" w:hAnsi="文星仿宋" w:eastAsia="文星仿宋" w:cs="文星仿宋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D14CA"/>
    <w:rsid w:val="6B53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等线" w:hAnsi="等线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eastAsia="仿宋"/>
      <w:sz w:val="32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2022-03-04T07:52:00Z</dcterms:created>
  <dc:creator>Administrator</dc:creator>
  <cp:lastModifiedBy>光羽隹耀</cp:lastModifiedBy>
  <cp:lastPrinted>2022-03-07T00:33:26Z</cp:lastPrinted>
  <dcterms:modified xsi:type="dcterms:W3CDTF">2022-03-07T00:35:54Z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A98506FA896741708F092858D164B9FA</vt:lpwstr>
  </property>
</Properties>
</file>