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太平镇2023年亮点工作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2023年11月29日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43" w:firstLineChars="20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一、2023年亮点工作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（一）经济运行企稳回升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举全镇之力“龙”口夺粮，确保了夏粮生产安全。林果业继续保持常态常效，兴旺、赢兴、东平火龙果等园区经济实现了恢复性增长。田园综合体以“三变”模式实现产学研相结合，驶入文农旅竞相发展的快车道。兴旺农场“一帐营地”成为文旅又一亮点；孟李庄、北黄楼的蔬菜大棚、刘花园、太平西村的育苗产业领军全镇集体经济发展，群众收入普遍增长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在李克彦、张庙、花庄、南黄楼等村大力实施高标准良田示范提升工程，开展了土地经营权流转工作。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成功举办了首届乡贤联谊会，集聚乡贤力量共谋发展。京东物流科技园、玻璃器材项目正在施工。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-10" w:leftChars="0" w:firstLine="640" w:firstLineChars="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项目建设持续加压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一是实施了投资5400万元的36000亩高标准农田设施配套项目，农业抗风险能力进一步增强。二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是95.07亩的葛楼村康养中心建设项目疫情后接续建设。三是龙港湾三期工程--国家农广校夏邑分校近期完工，学校启用后将聚合全国优质师资力量，面向全国培育农业技能型、专业型人才，为推进人才振兴发挥积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-10" w:leftChars="0" w:firstLine="640" w:firstLineChars="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人居环境整治常态开展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完善了观摩考核工作机制。开展了人居环境集中整治工作，彻底清扫陈旧性垃圾、秸杆和黑臭水体，从源头上抓牢抓死禁烧工作，促进人居环境改善工作全面提升。利用春节有利时机，采取群众捐一点、政府补一点的办法，全镇安装太阳能板路灯3000余盏，所有自然村实现亮化工作全覆盖。2月8日，三姓庄村被河南省爱卫会命名为2022年度健康村庄；2月13日该村被河南省委农村工作领导小组</w:t>
      </w:r>
      <w:r>
        <w:rPr>
          <w:rFonts w:hint="eastAsia" w:ascii="仿宋" w:hAnsi="仿宋" w:eastAsia="仿宋" w:cs="仿宋"/>
          <w:sz w:val="32"/>
          <w:szCs w:val="32"/>
        </w:rPr>
        <w:t>表彰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为第</w:t>
      </w:r>
      <w:r>
        <w:rPr>
          <w:rFonts w:hint="eastAsia" w:ascii="仿宋" w:hAnsi="仿宋" w:eastAsia="仿宋" w:cs="仿宋"/>
          <w:sz w:val="32"/>
          <w:szCs w:val="32"/>
        </w:rPr>
        <w:t>一批全省农村人居环境集中整治行动先进单位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11月28日，太平镇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省级园林城镇通过复审并积极申报国家级园林城镇。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-10" w:leftChars="0" w:firstLine="640" w:firstLine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（四）农村建房规范有序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以虞城县芒种桥乡违法违规占地案件为镜鉴，进行了为期2个多月的以案促改。拆除图斑34个，补办手续21个，存量图斑举证通过20个。以违法违规占地拆除整改为主线，加强对基本农田和一般耕地的巡查保护，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按月分批次审批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建房。全年共申请建房82户，审批31户，均为符合条件的急需建房户，规范了建房秩序。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left="-10" w:leftChars="0" w:firstLine="640" w:firstLineChars="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平安建设纵深开展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组建了平安建设办公室，坚持“五治统筹、四防融合”，实行网格化管理，持续深化“三零”创建，</w:t>
      </w:r>
      <w:r>
        <w:rPr>
          <w:rFonts w:hint="eastAsia" w:ascii="仿宋" w:hAnsi="仿宋" w:eastAsia="仿宋" w:cs="仿宋"/>
          <w:sz w:val="32"/>
          <w:szCs w:val="32"/>
        </w:rPr>
        <w:t>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基层社会治理能力和水平,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打通了社会治理“最后一公里”，太平派出所创建了“枫桥式”派出所，全市公安工作现场会在太平派出所组织了观摩。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  <w:t>坚持重在解决，每周召开一次信访形势分析研判会、座谈会，压茬分批化解疑难案件，王素英、李亚丽等一批积案相继解决。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巩固拓展脱贫成果同乡村振兴有效衔接工作深入推进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监测户12户28人，风险消除1户7人，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新办理低保246人、五保19人、残疾人169人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，累计办理省外务工交通补贴433人，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投资90余万元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新修张庙、刘楼村道路1600余米，杨洼村帮扶车间正在施工。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（七）民主法制建设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工作进一步加强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法治政府建设扎实推进，镇村干部依法办事的能力明显增强。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“五星”支部创建工作深入开展，呈现出群“星”荟萃、“星星”闪耀的良好局面。对软弱涣散村党支部太平东村进行了集中整顿，各项工作步入正轨。以虞城县原政协副主席范文生违纪违法案件为反面教材，全体镇村干部进行了以案促改；以高站位接受了省委第九巡视组和县委第一巡察组巡视巡察工作，进一步端正了工作态度，树立了鲜明的工作导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二、存在问题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地租压力大，重点项目建设推进缓慢；二是转移支付与税收挂钩，而镇政府税源少，造成经费不足，政府工作运转困难；三是改革开放力度不够大，招商引资视野不开阔，倍增计划落实不理想；四是干部作风能力有待进一步提升；五是</w:t>
      </w:r>
      <w:r>
        <w:rPr>
          <w:rFonts w:hint="eastAsia" w:ascii="仿宋" w:hAnsi="仿宋" w:eastAsia="仿宋" w:cs="仿宋"/>
          <w:sz w:val="32"/>
          <w:szCs w:val="32"/>
        </w:rPr>
        <w:t>消费和投资恢复迟缓，中小企业、个体工商户生产经营困难，稳就业任务艰巨。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val="en-US" w:eastAsia="zh-CN"/>
        </w:rPr>
        <w:t>2023年单位获奖荣誉统计表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新宋体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0"/>
          <w:szCs w:val="30"/>
          <w:lang w:val="en-US" w:eastAsia="zh-CN"/>
        </w:rPr>
        <w:t>填报单位：太平镇人民政府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480"/>
        <w:gridCol w:w="4425"/>
        <w:gridCol w:w="1830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荣誉称号</w:t>
            </w:r>
          </w:p>
        </w:tc>
        <w:tc>
          <w:tcPr>
            <w:tcW w:w="4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授予单位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授予时间</w:t>
            </w:r>
          </w:p>
        </w:tc>
        <w:tc>
          <w:tcPr>
            <w:tcW w:w="34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商丘市职工职业道德建设标兵单位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商丘市总工会、市委宣传部、互联网信息办公室、工业和信息化局、商务局、商丘日报社、广播电视台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2023年7月25日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商工文【2023】82号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老年体育工作先进乡镇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商丘市老年人体育协会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2022年9月16日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商老体【2022】33号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商丘市第七次全国人口普查优秀集体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商丘市人社局、统计局、第七次全国人口普查领导小组办公室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2022年12月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奖牌、证书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全市应急管理宣传工作先进集体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商丘市应急管理局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2023年4月6日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《商丘市应急管理局关于表彰2022年度商丘市应急管理宣传工作先进集体和先进个人的通知》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2022年乡村振兴河南专场暨“99公益日”活动爱心单位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河南省见义勇为基金会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2023年3月16日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豫义【2023】3号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全省农村人居环境集中整治行动先进单位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（三姓庄村）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河南省委农业农村工作领导小组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2023年2月13日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2023-02-17夏邑县融媒体中心“掌握夏邑”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商丘市征兵工作先进单位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商丘市征兵领导小组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2023年1月17日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[2023]3号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河南省健康村庄（三姓庄村）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河南省爱国卫生运动委员会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2023年2月8日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豫爱卫【2023】3号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张杨庄、刘花园、孟李庄、杨洼、骆庙、李克彦、三包祠、张花园、王庙、太平庄、牛楼、双黄庄、太平西、花庄、南黄楼等15村被命名为省级卫生村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河南省爱国卫生运动委员会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新宋体" w:eastAsia="仿宋_GB2312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2023年2月8日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新宋体" w:eastAsia="仿宋_GB2312" w:cstheme="minorBidi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豫爱卫【2023】4号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太平镇三姓庄村被命名为全省第二批乡村康养旅游示范村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河南省文化和旅游厅、河南省乡村振兴局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2023.12.18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2023年“5.8人道公益日”人道资源动员工作爱心单位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河南省红十字会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2023.11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奖牌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仿宋_GB2312" w:hAnsi="新宋体" w:eastAsia="仿宋_GB2312"/>
          <w:color w:val="00000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A3ZDM0OGRiZWNkMGNjMjBiOWE1MmRhNjM2ZjQifQ=="/>
  </w:docVars>
  <w:rsids>
    <w:rsidRoot w:val="187B5768"/>
    <w:rsid w:val="0509267F"/>
    <w:rsid w:val="064477B9"/>
    <w:rsid w:val="072E6E6D"/>
    <w:rsid w:val="097334DC"/>
    <w:rsid w:val="09802866"/>
    <w:rsid w:val="098D423D"/>
    <w:rsid w:val="0A5151D8"/>
    <w:rsid w:val="0B386F97"/>
    <w:rsid w:val="0BB7550F"/>
    <w:rsid w:val="107C4252"/>
    <w:rsid w:val="114535BD"/>
    <w:rsid w:val="13FC4407"/>
    <w:rsid w:val="158765E6"/>
    <w:rsid w:val="16317BD6"/>
    <w:rsid w:val="17AF79E2"/>
    <w:rsid w:val="187B5768"/>
    <w:rsid w:val="18DC4807"/>
    <w:rsid w:val="19DC4392"/>
    <w:rsid w:val="21917AF2"/>
    <w:rsid w:val="21DE1F17"/>
    <w:rsid w:val="25B3069D"/>
    <w:rsid w:val="27D75F18"/>
    <w:rsid w:val="290D1E07"/>
    <w:rsid w:val="2B4A1AA4"/>
    <w:rsid w:val="2B9E76FA"/>
    <w:rsid w:val="2D346567"/>
    <w:rsid w:val="2D55028C"/>
    <w:rsid w:val="2FD1009E"/>
    <w:rsid w:val="2FDC29E9"/>
    <w:rsid w:val="30F8681F"/>
    <w:rsid w:val="329926F0"/>
    <w:rsid w:val="35E221B6"/>
    <w:rsid w:val="366F17A0"/>
    <w:rsid w:val="370656FF"/>
    <w:rsid w:val="38027CD2"/>
    <w:rsid w:val="38CC3AF8"/>
    <w:rsid w:val="399F12C4"/>
    <w:rsid w:val="3A1C460B"/>
    <w:rsid w:val="3A4F7E7B"/>
    <w:rsid w:val="3CF70B73"/>
    <w:rsid w:val="3D4634DB"/>
    <w:rsid w:val="40A4535A"/>
    <w:rsid w:val="422F1CA7"/>
    <w:rsid w:val="42B372FD"/>
    <w:rsid w:val="44213E48"/>
    <w:rsid w:val="44F42617"/>
    <w:rsid w:val="4A1C621E"/>
    <w:rsid w:val="4AE72A13"/>
    <w:rsid w:val="4B8C794C"/>
    <w:rsid w:val="53422F1B"/>
    <w:rsid w:val="53642E53"/>
    <w:rsid w:val="53781552"/>
    <w:rsid w:val="53B3724F"/>
    <w:rsid w:val="54136627"/>
    <w:rsid w:val="54BC281B"/>
    <w:rsid w:val="567468C5"/>
    <w:rsid w:val="582A4AE8"/>
    <w:rsid w:val="58675193"/>
    <w:rsid w:val="5AD17FAA"/>
    <w:rsid w:val="5C592497"/>
    <w:rsid w:val="5F5A7800"/>
    <w:rsid w:val="601259E5"/>
    <w:rsid w:val="63754C08"/>
    <w:rsid w:val="63F7509C"/>
    <w:rsid w:val="66D11BFD"/>
    <w:rsid w:val="67BE358C"/>
    <w:rsid w:val="690802CD"/>
    <w:rsid w:val="6B851761"/>
    <w:rsid w:val="6DBB76BC"/>
    <w:rsid w:val="758D62B1"/>
    <w:rsid w:val="75DE652A"/>
    <w:rsid w:val="76ED0443"/>
    <w:rsid w:val="771F1227"/>
    <w:rsid w:val="7A0A7C7D"/>
    <w:rsid w:val="7BC40083"/>
    <w:rsid w:val="7CC876B0"/>
    <w:rsid w:val="7D621902"/>
    <w:rsid w:val="7DAD4147"/>
    <w:rsid w:val="7E400BE6"/>
    <w:rsid w:val="7FB977D3"/>
    <w:rsid w:val="7FC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Text"/>
    <w:basedOn w:val="1"/>
    <w:qFormat/>
    <w:uiPriority w:val="0"/>
    <w:pPr>
      <w:spacing w:beforeAutospacing="1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2895</Words>
  <Characters>3071</Characters>
  <Lines>0</Lines>
  <Paragraphs>0</Paragraphs>
  <TotalTime>6</TotalTime>
  <ScaleCrop>false</ScaleCrop>
  <LinksUpToDate>false</LinksUpToDate>
  <CharactersWithSpaces>3071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2022-11-05T02:24:00Z</dcterms:created>
  <dc:creator>Administrator</dc:creator>
  <cp:lastModifiedBy>Administrator</cp:lastModifiedBy>
  <cp:lastPrinted>2023-12-04T01:00:00Z</cp:lastPrinted>
  <dcterms:modified xsi:type="dcterms:W3CDTF">2023-12-25T03:14:07Z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ABB35EF1EEE24247AA3444DEFB5F8E83_13</vt:lpwstr>
  </property>
</Properties>
</file>