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10"/>
          <w:tab w:val="left" w:pos="4620"/>
          <w:tab w:val="left" w:pos="6090"/>
        </w:tabs>
        <w:ind w:right="218" w:rightChars="104"/>
        <w:jc w:val="distribute"/>
        <w:rPr>
          <w:rFonts w:hint="eastAsia" w:ascii="宋体" w:hAnsi="宋体" w:eastAsia="宋体" w:cs="宋体"/>
          <w:b/>
          <w:bCs/>
          <w:color w:val="FF0000"/>
          <w:sz w:val="72"/>
          <w:szCs w:val="72"/>
          <w:lang w:eastAsia="zh-CN"/>
        </w:rPr>
      </w:pPr>
      <w:r>
        <w:rPr>
          <w:rFonts w:hint="eastAsia" w:ascii="宋体" w:hAnsi="宋体" w:eastAsia="宋体" w:cs="宋体"/>
          <w:b/>
          <w:bCs/>
          <w:color w:val="FF0000"/>
          <w:spacing w:val="-23"/>
          <w:w w:val="80"/>
          <w:sz w:val="72"/>
          <w:szCs w:val="72"/>
          <w:lang w:eastAsia="zh-CN"/>
        </w:rPr>
        <w:t>夏</w:t>
      </w:r>
      <w:r>
        <w:rPr>
          <w:rFonts w:hint="eastAsia" w:ascii="宋体" w:hAnsi="宋体" w:eastAsia="宋体" w:cs="宋体"/>
          <w:b/>
          <w:bCs/>
          <w:color w:val="FF0000"/>
          <w:spacing w:val="-23"/>
          <w:w w:val="80"/>
          <w:sz w:val="72"/>
          <w:szCs w:val="72"/>
          <w:lang w:val="en-US" w:eastAsia="zh-CN"/>
        </w:rPr>
        <w:t xml:space="preserve"> </w:t>
      </w:r>
      <w:r>
        <w:rPr>
          <w:rFonts w:hint="eastAsia" w:ascii="宋体" w:hAnsi="宋体" w:eastAsia="宋体" w:cs="宋体"/>
          <w:b/>
          <w:bCs/>
          <w:color w:val="FF0000"/>
          <w:spacing w:val="-23"/>
          <w:w w:val="80"/>
          <w:sz w:val="72"/>
          <w:szCs w:val="72"/>
          <w:lang w:eastAsia="zh-CN"/>
        </w:rPr>
        <w:t>邑</w:t>
      </w:r>
      <w:r>
        <w:rPr>
          <w:rFonts w:hint="eastAsia" w:ascii="宋体" w:hAnsi="宋体" w:eastAsia="宋体" w:cs="宋体"/>
          <w:b/>
          <w:bCs/>
          <w:color w:val="FF0000"/>
          <w:spacing w:val="-23"/>
          <w:w w:val="80"/>
          <w:sz w:val="72"/>
          <w:szCs w:val="72"/>
          <w:lang w:val="en-US" w:eastAsia="zh-CN"/>
        </w:rPr>
        <w:t xml:space="preserve"> </w:t>
      </w:r>
      <w:r>
        <w:rPr>
          <w:rFonts w:hint="eastAsia" w:ascii="宋体" w:hAnsi="宋体" w:eastAsia="宋体" w:cs="宋体"/>
          <w:b/>
          <w:bCs/>
          <w:color w:val="FF0000"/>
          <w:spacing w:val="-23"/>
          <w:w w:val="80"/>
          <w:sz w:val="72"/>
          <w:szCs w:val="72"/>
          <w:lang w:eastAsia="zh-CN"/>
        </w:rPr>
        <w:t>县</w:t>
      </w:r>
      <w:r>
        <w:rPr>
          <w:rFonts w:hint="eastAsia" w:ascii="宋体" w:hAnsi="宋体" w:eastAsia="宋体" w:cs="宋体"/>
          <w:b/>
          <w:bCs/>
          <w:color w:val="FF0000"/>
          <w:spacing w:val="-23"/>
          <w:w w:val="80"/>
          <w:sz w:val="72"/>
          <w:szCs w:val="72"/>
          <w:lang w:val="en-US" w:eastAsia="zh-CN"/>
        </w:rPr>
        <w:t xml:space="preserve"> </w:t>
      </w:r>
      <w:r>
        <w:rPr>
          <w:rFonts w:hint="eastAsia" w:ascii="宋体" w:hAnsi="宋体" w:eastAsia="宋体" w:cs="宋体"/>
          <w:b/>
          <w:bCs/>
          <w:color w:val="FF0000"/>
          <w:spacing w:val="-23"/>
          <w:w w:val="80"/>
          <w:sz w:val="72"/>
          <w:szCs w:val="72"/>
          <w:lang w:eastAsia="zh-CN"/>
        </w:rPr>
        <w:t>民</w:t>
      </w:r>
      <w:r>
        <w:rPr>
          <w:rFonts w:hint="eastAsia" w:ascii="宋体" w:hAnsi="宋体" w:eastAsia="宋体" w:cs="宋体"/>
          <w:b/>
          <w:bCs/>
          <w:color w:val="FF0000"/>
          <w:spacing w:val="-23"/>
          <w:w w:val="80"/>
          <w:sz w:val="72"/>
          <w:szCs w:val="72"/>
          <w:lang w:val="en-US" w:eastAsia="zh-CN"/>
        </w:rPr>
        <w:t xml:space="preserve"> </w:t>
      </w:r>
      <w:r>
        <w:rPr>
          <w:rFonts w:hint="eastAsia" w:ascii="宋体" w:hAnsi="宋体" w:eastAsia="宋体" w:cs="宋体"/>
          <w:b/>
          <w:bCs/>
          <w:color w:val="FF0000"/>
          <w:spacing w:val="-23"/>
          <w:w w:val="80"/>
          <w:sz w:val="72"/>
          <w:szCs w:val="72"/>
          <w:lang w:eastAsia="zh-CN"/>
        </w:rPr>
        <w:t>政</w:t>
      </w:r>
      <w:r>
        <w:rPr>
          <w:rFonts w:hint="eastAsia" w:ascii="宋体" w:hAnsi="宋体" w:eastAsia="宋体" w:cs="宋体"/>
          <w:b/>
          <w:bCs/>
          <w:color w:val="FF0000"/>
          <w:spacing w:val="-23"/>
          <w:w w:val="80"/>
          <w:sz w:val="72"/>
          <w:szCs w:val="72"/>
          <w:lang w:val="en-US" w:eastAsia="zh-CN"/>
        </w:rPr>
        <w:t xml:space="preserve"> </w:t>
      </w:r>
      <w:r>
        <w:rPr>
          <w:rFonts w:hint="eastAsia" w:ascii="宋体" w:hAnsi="宋体" w:eastAsia="宋体" w:cs="宋体"/>
          <w:b/>
          <w:bCs/>
          <w:color w:val="FF0000"/>
          <w:spacing w:val="-23"/>
          <w:w w:val="80"/>
          <w:sz w:val="72"/>
          <w:szCs w:val="72"/>
          <w:lang w:eastAsia="zh-CN"/>
        </w:rPr>
        <w:t>局</w:t>
      </w:r>
    </w:p>
    <w:p>
      <w:pPr>
        <w:rPr>
          <w:rFonts w:hint="eastAsia"/>
        </w:rPr>
      </w:pPr>
      <w:r>
        <w:rPr>
          <w:rFonts w:hint="eastAsia" w:ascii="宋体" w:hAnsi="宋体" w:eastAsia="宋体" w:cs="宋体"/>
          <w:b/>
          <w:bCs/>
          <w:sz w:val="32"/>
          <w:szCs w:val="32"/>
        </w:rPr>
        <mc:AlternateContent>
          <mc:Choice Requires="wpg">
            <w:drawing>
              <wp:anchor distT="0" distB="0" distL="114300" distR="114300" simplePos="0" relativeHeight="251659264" behindDoc="0" locked="0" layoutInCell="1" allowOverlap="1">
                <wp:simplePos x="0" y="0"/>
                <wp:positionH relativeFrom="column">
                  <wp:posOffset>-193675</wp:posOffset>
                </wp:positionH>
                <wp:positionV relativeFrom="paragraph">
                  <wp:posOffset>104140</wp:posOffset>
                </wp:positionV>
                <wp:extent cx="5615305" cy="102870"/>
                <wp:effectExtent l="0" t="15875" r="4445" b="14605"/>
                <wp:wrapNone/>
                <wp:docPr id="3" name="组合 3"/>
                <wp:cNvGraphicFramePr/>
                <a:graphic xmlns:a="http://schemas.openxmlformats.org/drawingml/2006/main">
                  <a:graphicData uri="http://schemas.microsoft.com/office/word/2010/wordprocessingGroup">
                    <wpg:wgp>
                      <wpg:cNvGrpSpPr/>
                      <wpg:grpSpPr>
                        <a:xfrm>
                          <a:off x="0" y="0"/>
                          <a:ext cx="5615305" cy="102870"/>
                          <a:chOff x="0" y="0"/>
                          <a:chExt cx="8832" cy="66"/>
                        </a:xfrm>
                      </wpg:grpSpPr>
                      <wps:wsp>
                        <wps:cNvPr id="1" name="直接连接符 1"/>
                        <wps:cNvCnPr/>
                        <wps:spPr>
                          <a:xfrm>
                            <a:off x="12" y="66"/>
                            <a:ext cx="8820" cy="1"/>
                          </a:xfrm>
                          <a:prstGeom prst="line">
                            <a:avLst/>
                          </a:prstGeom>
                          <a:ln w="9525" cap="flat" cmpd="sng">
                            <a:solidFill>
                              <a:srgbClr val="FF0000"/>
                            </a:solidFill>
                            <a:prstDash val="solid"/>
                            <a:headEnd type="none" w="med" len="med"/>
                            <a:tailEnd type="none" w="med" len="med"/>
                          </a:ln>
                        </wps:spPr>
                        <wps:bodyPr upright="1"/>
                      </wps:wsp>
                      <wps:wsp>
                        <wps:cNvPr id="2" name="直接连接符 2"/>
                        <wps:cNvCnPr/>
                        <wps:spPr>
                          <a:xfrm>
                            <a:off x="0" y="0"/>
                            <a:ext cx="8820" cy="1"/>
                          </a:xfrm>
                          <a:prstGeom prst="line">
                            <a:avLst/>
                          </a:prstGeom>
                          <a:ln w="3175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5.25pt;margin-top:8.2pt;height:8.1pt;width:442.15pt;z-index:251659264;mso-width-relative:page;mso-height-relative:page;" coordsize="8832,66" o:gfxdata="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rIwQfZAAAA&#10;CQEAAA8AAAAAAAAAAQAgAAAAIgAAAGRycy9kb3ducmV2LnhtbFBLAQIUABQAAAAIAIdO4kC1sNe/&#10;jgIAAA8HAAAOAAAAAAAAAAEAIAAAACgBAABkcnMvZTJvRG9jLnhtbFBLBQYAAAAABgAGAFkBAAAo&#10;BgAAAAA=&#10;">
                <o:lock v:ext="edit" aspectratio="f"/>
                <v:line id="_x0000_s1026" o:spid="_x0000_s1026" o:spt="20" style="position:absolute;left:12;top:66;height:1;width:8820;" filled="f" stroked="t" coordsize="21600,21600" o:gfxdata="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wqEugAAANoA&#10;AAAPAAAAAAAAAAEAIAAAACIAAABkcnMvZG93bnJldi54bWxQSwECFAAUAAAACACHTuJAMy8FnjsA&#10;AAA5AAAAEAAAAAAAAAABACAAAAAJAQAAZHJzL3NoYXBleG1sLnhtbFBLBQYAAAAABgAGAFsBAACz&#10;AwAAAAA=&#10;">
                  <v:fill on="f" focussize="0,0"/>
                  <v:stroke color="#FF0000" joinstyle="round"/>
                  <v:imagedata o:title=""/>
                  <o:lock v:ext="edit" aspectratio="f"/>
                </v:line>
                <v:line id="_x0000_s1026" o:spid="_x0000_s1026" o:spt="20" style="position:absolute;left:0;top:0;height:1;width:8820;" filled="f" stroked="t" coordsize="21600,21600" o:gfxdata="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kk2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group>
            </w:pict>
          </mc:Fallback>
        </mc:AlternateContent>
      </w:r>
    </w:p>
    <w:p>
      <w:pPr>
        <w:pStyle w:val="7"/>
        <w:bidi w:val="0"/>
        <w:jc w:val="center"/>
        <w:rPr>
          <w:rFonts w:hint="eastAsia" w:ascii="仿宋" w:hAnsi="仿宋" w:eastAsia="仿宋" w:cs="仿宋"/>
          <w:sz w:val="32"/>
          <w:szCs w:val="32"/>
        </w:rPr>
      </w:pPr>
      <w:r>
        <w:rPr>
          <w:rFonts w:hint="eastAsia"/>
          <w:lang w:val="en-US" w:eastAsia="zh-CN"/>
        </w:rPr>
        <w:t>夏邑县</w:t>
      </w:r>
      <w:r>
        <w:rPr>
          <w:rFonts w:hint="eastAsia"/>
        </w:rPr>
        <w:t>民政局关于开展冬春季节安全风险隐患专项排查整治行动的通知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val="en-US" w:eastAsia="zh-CN"/>
        </w:rPr>
        <w:t>乡（镇）公共服务中心、郭庄农贸区公共服务中心：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深入学习贯彻习近平总书记等党和国家领导人对安全生产工作的重要指示批示精神，深刻汲取近期国内重大火灾事故教训，全力做好冬春季节安全隐患防控工作，根据《河南省民政厅关于开展冬春李节安全风险隐患专项排查整治行动的通知》（豫民文</w:t>
      </w:r>
      <w:r>
        <w:rPr>
          <w:rFonts w:hint="eastAsia" w:ascii="仿宋" w:hAnsi="仿宋" w:eastAsia="仿宋" w:cs="仿宋"/>
          <w:sz w:val="32"/>
          <w:szCs w:val="32"/>
          <w:lang w:val="en-US" w:eastAsia="zh-CN"/>
        </w:rPr>
        <w:t>〔</w:t>
      </w:r>
      <w:r>
        <w:rPr>
          <w:rFonts w:hint="eastAsia" w:ascii="仿宋" w:hAnsi="仿宋" w:eastAsia="仿宋" w:cs="仿宋"/>
          <w:sz w:val="32"/>
          <w:szCs w:val="32"/>
        </w:rPr>
        <w:t>2023</w:t>
      </w:r>
      <w:r>
        <w:rPr>
          <w:rFonts w:hint="eastAsia" w:ascii="仿宋" w:hAnsi="仿宋" w:eastAsia="仿宋" w:cs="仿宋"/>
          <w:sz w:val="32"/>
          <w:szCs w:val="32"/>
          <w:lang w:val="en-US" w:eastAsia="zh-CN"/>
        </w:rPr>
        <w:t>〕</w:t>
      </w:r>
      <w:r>
        <w:rPr>
          <w:rFonts w:hint="eastAsia" w:ascii="仿宋" w:hAnsi="仿宋" w:eastAsia="仿宋" w:cs="仿宋"/>
          <w:sz w:val="32"/>
          <w:szCs w:val="32"/>
        </w:rPr>
        <w:t>248号）《商丘市人民政府办公室关于印发全市消防安全“百日攻坚”行动工作方案的通知》（商政办</w:t>
      </w:r>
      <w:r>
        <w:rPr>
          <w:rFonts w:hint="eastAsia" w:ascii="仿宋" w:hAnsi="仿宋" w:eastAsia="仿宋" w:cs="仿宋"/>
          <w:sz w:val="32"/>
          <w:szCs w:val="32"/>
          <w:lang w:val="en-US" w:eastAsia="zh-CN"/>
        </w:rPr>
        <w:t>〔</w:t>
      </w:r>
      <w:r>
        <w:rPr>
          <w:rFonts w:hint="eastAsia" w:ascii="仿宋" w:hAnsi="仿宋" w:eastAsia="仿宋" w:cs="仿宋"/>
          <w:sz w:val="32"/>
          <w:szCs w:val="32"/>
        </w:rPr>
        <w:t>2023</w:t>
      </w:r>
      <w:r>
        <w:rPr>
          <w:rFonts w:hint="eastAsia" w:ascii="仿宋" w:hAnsi="仿宋" w:eastAsia="仿宋" w:cs="仿宋"/>
          <w:sz w:val="32"/>
          <w:szCs w:val="32"/>
          <w:lang w:val="en-US" w:eastAsia="zh-CN"/>
        </w:rPr>
        <w:t>〕</w:t>
      </w:r>
      <w:r>
        <w:rPr>
          <w:rFonts w:hint="eastAsia" w:ascii="仿宋" w:hAnsi="仿宋" w:eastAsia="仿宋" w:cs="仿宋"/>
          <w:sz w:val="32"/>
          <w:szCs w:val="32"/>
        </w:rPr>
        <w:t>51号</w:t>
      </w:r>
      <w:r>
        <w:rPr>
          <w:rFonts w:hint="eastAsia" w:ascii="仿宋" w:hAnsi="仿宋" w:eastAsia="仿宋" w:cs="仿宋"/>
          <w:sz w:val="32"/>
          <w:szCs w:val="32"/>
          <w:lang w:eastAsia="zh-CN"/>
        </w:rPr>
        <w:t>）</w:t>
      </w:r>
      <w:r>
        <w:rPr>
          <w:rFonts w:hint="eastAsia" w:ascii="仿宋" w:hAnsi="仿宋" w:eastAsia="仿宋" w:cs="仿宋"/>
          <w:sz w:val="32"/>
          <w:szCs w:val="32"/>
        </w:rPr>
        <w:t>和《商丘市安全生产委员会关于印发〈商丘市集中开展安全生产“六查一打”专项行动方案</w:t>
      </w:r>
      <w:r>
        <w:rPr>
          <w:rFonts w:hint="eastAsia" w:ascii="仿宋" w:hAnsi="仿宋" w:eastAsia="仿宋" w:cs="仿宋"/>
          <w:sz w:val="32"/>
          <w:szCs w:val="32"/>
          <w:lang w:val="en-US" w:eastAsia="zh-CN"/>
        </w:rPr>
        <w:t>〉</w:t>
      </w:r>
      <w:r>
        <w:rPr>
          <w:rFonts w:hint="eastAsia" w:ascii="仿宋" w:hAnsi="仿宋" w:eastAsia="仿宋" w:cs="仿宋"/>
          <w:sz w:val="32"/>
          <w:szCs w:val="32"/>
        </w:rPr>
        <w:t>的通知</w:t>
      </w:r>
      <w:r>
        <w:rPr>
          <w:rFonts w:hint="eastAsia" w:ascii="仿宋" w:hAnsi="仿宋" w:eastAsia="仿宋" w:cs="仿宋"/>
          <w:sz w:val="32"/>
          <w:szCs w:val="32"/>
          <w:lang w:eastAsia="zh-CN"/>
        </w:rPr>
        <w:t>》</w:t>
      </w:r>
      <w:r>
        <w:rPr>
          <w:rFonts w:hint="eastAsia" w:ascii="仿宋" w:hAnsi="仿宋" w:eastAsia="仿宋" w:cs="仿宋"/>
          <w:sz w:val="32"/>
          <w:szCs w:val="32"/>
        </w:rPr>
        <w:t>（商安委</w:t>
      </w:r>
      <w:r>
        <w:rPr>
          <w:rFonts w:hint="eastAsia" w:ascii="仿宋" w:hAnsi="仿宋" w:eastAsia="仿宋" w:cs="仿宋"/>
          <w:sz w:val="32"/>
          <w:szCs w:val="32"/>
          <w:lang w:val="en-US" w:eastAsia="zh-CN"/>
        </w:rPr>
        <w:t>〔</w:t>
      </w:r>
      <w:r>
        <w:rPr>
          <w:rFonts w:hint="eastAsia" w:ascii="仿宋" w:hAnsi="仿宋" w:eastAsia="仿宋" w:cs="仿宋"/>
          <w:sz w:val="32"/>
          <w:szCs w:val="32"/>
        </w:rPr>
        <w:t>2023</w:t>
      </w:r>
      <w:r>
        <w:rPr>
          <w:rFonts w:hint="eastAsia" w:ascii="仿宋" w:hAnsi="仿宋" w:eastAsia="仿宋" w:cs="仿宋"/>
          <w:sz w:val="32"/>
          <w:szCs w:val="32"/>
          <w:lang w:val="en-US" w:eastAsia="zh-CN"/>
        </w:rPr>
        <w:t>〕</w:t>
      </w:r>
      <w:r>
        <w:rPr>
          <w:rFonts w:hint="eastAsia" w:ascii="仿宋" w:hAnsi="仿宋" w:eastAsia="仿宋" w:cs="仿宋"/>
          <w:sz w:val="32"/>
          <w:szCs w:val="32"/>
        </w:rPr>
        <w:t>28号)的部署安排，</w:t>
      </w:r>
      <w:r>
        <w:rPr>
          <w:rFonts w:hint="eastAsia" w:ascii="仿宋" w:hAnsi="仿宋" w:eastAsia="仿宋" w:cs="仿宋"/>
          <w:sz w:val="32"/>
          <w:szCs w:val="32"/>
          <w:lang w:val="en-US" w:eastAsia="zh-CN"/>
        </w:rPr>
        <w:t>县</w:t>
      </w:r>
      <w:r>
        <w:rPr>
          <w:rFonts w:hint="eastAsia" w:ascii="仿宋" w:hAnsi="仿宋" w:eastAsia="仿宋" w:cs="仿宋"/>
          <w:sz w:val="32"/>
          <w:szCs w:val="32"/>
        </w:rPr>
        <w:t>民政局决定从即日起至2024年2月底在全</w:t>
      </w:r>
      <w:r>
        <w:rPr>
          <w:rFonts w:hint="eastAsia" w:ascii="仿宋" w:hAnsi="仿宋" w:eastAsia="仿宋" w:cs="仿宋"/>
          <w:sz w:val="32"/>
          <w:szCs w:val="32"/>
          <w:lang w:val="en-US" w:eastAsia="zh-CN"/>
        </w:rPr>
        <w:t>县</w:t>
      </w:r>
      <w:r>
        <w:rPr>
          <w:rFonts w:hint="eastAsia" w:ascii="仿宋" w:hAnsi="仿宋" w:eastAsia="仿宋" w:cs="仿宋"/>
          <w:sz w:val="32"/>
          <w:szCs w:val="32"/>
        </w:rPr>
        <w:t>民政系统集中开展冬春季节安全风险隐患专项排查整治行动，现将有关情况通知如下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在全</w:t>
      </w:r>
      <w:r>
        <w:rPr>
          <w:rFonts w:hint="eastAsia" w:ascii="仿宋" w:hAnsi="仿宋" w:eastAsia="仿宋" w:cs="仿宋"/>
          <w:sz w:val="32"/>
          <w:szCs w:val="32"/>
          <w:lang w:val="en-US" w:eastAsia="zh-CN"/>
        </w:rPr>
        <w:t>县</w:t>
      </w:r>
      <w:r>
        <w:rPr>
          <w:rFonts w:hint="eastAsia" w:ascii="仿宋" w:hAnsi="仿宋" w:eastAsia="仿宋" w:cs="仿宋"/>
          <w:sz w:val="32"/>
          <w:szCs w:val="32"/>
        </w:rPr>
        <w:t>民政系统范围内开展冬春季安全风险隐患专项排查整治行动，推动各</w:t>
      </w:r>
      <w:r>
        <w:rPr>
          <w:rFonts w:hint="eastAsia" w:ascii="仿宋" w:hAnsi="仿宋" w:eastAsia="仿宋" w:cs="仿宋"/>
          <w:sz w:val="32"/>
          <w:szCs w:val="32"/>
          <w:lang w:val="en-US" w:eastAsia="zh-CN"/>
        </w:rPr>
        <w:t>乡（镇）</w:t>
      </w:r>
      <w:r>
        <w:rPr>
          <w:rFonts w:hint="eastAsia" w:ascii="仿宋" w:hAnsi="仿宋" w:eastAsia="仿宋" w:cs="仿宋"/>
          <w:sz w:val="32"/>
          <w:szCs w:val="32"/>
        </w:rPr>
        <w:t>认真落实“三管三必须”要求，</w:t>
      </w:r>
      <w:r>
        <w:rPr>
          <w:rFonts w:hint="eastAsia" w:ascii="仿宋" w:hAnsi="仿宋" w:eastAsia="仿宋" w:cs="仿宋"/>
          <w:sz w:val="32"/>
          <w:szCs w:val="32"/>
          <w:lang w:val="en-US" w:eastAsia="zh-CN"/>
        </w:rPr>
        <w:t>扛</w:t>
      </w:r>
      <w:r>
        <w:rPr>
          <w:rFonts w:hint="eastAsia" w:ascii="仿宋" w:hAnsi="仿宋" w:eastAsia="仿宋" w:cs="仿宋"/>
          <w:sz w:val="32"/>
          <w:szCs w:val="32"/>
        </w:rPr>
        <w:t>稳</w:t>
      </w:r>
      <w:r>
        <w:rPr>
          <w:rFonts w:hint="eastAsia" w:ascii="仿宋" w:hAnsi="仿宋" w:eastAsia="仿宋" w:cs="仿宋"/>
          <w:sz w:val="32"/>
          <w:szCs w:val="32"/>
          <w:lang w:val="en-US" w:eastAsia="zh-CN"/>
        </w:rPr>
        <w:t>扛</w:t>
      </w:r>
      <w:r>
        <w:rPr>
          <w:rFonts w:hint="eastAsia" w:ascii="仿宋" w:hAnsi="仿宋" w:eastAsia="仿宋" w:cs="仿宋"/>
          <w:sz w:val="32"/>
          <w:szCs w:val="32"/>
        </w:rPr>
        <w:t>牢行业监管职</w:t>
      </w:r>
      <w:r>
        <w:rPr>
          <w:rFonts w:hint="eastAsia" w:ascii="仿宋" w:hAnsi="仿宋" w:eastAsia="仿宋" w:cs="仿宋"/>
          <w:sz w:val="32"/>
          <w:szCs w:val="32"/>
          <w:lang w:val="en-US" w:eastAsia="zh-CN"/>
        </w:rPr>
        <w:t>责；</w:t>
      </w:r>
      <w:r>
        <w:rPr>
          <w:rFonts w:hint="eastAsia" w:ascii="仿宋" w:hAnsi="仿宋" w:eastAsia="仿宋" w:cs="仿宋"/>
          <w:sz w:val="32"/>
          <w:szCs w:val="32"/>
        </w:rPr>
        <w:t>推动各民政服务机构主要负责人严格履行安全法定职责；推动各机构工作人员认真落实安全岗位职责，筑牢全</w:t>
      </w:r>
      <w:r>
        <w:rPr>
          <w:rFonts w:hint="eastAsia" w:ascii="仿宋" w:hAnsi="仿宋" w:eastAsia="仿宋" w:cs="仿宋"/>
          <w:sz w:val="32"/>
          <w:szCs w:val="32"/>
          <w:lang w:val="en-US" w:eastAsia="zh-CN"/>
        </w:rPr>
        <w:t>县</w:t>
      </w:r>
      <w:r>
        <w:rPr>
          <w:rFonts w:hint="eastAsia" w:ascii="仿宋" w:hAnsi="仿宋" w:eastAsia="仿宋" w:cs="仿宋"/>
          <w:sz w:val="32"/>
          <w:szCs w:val="32"/>
        </w:rPr>
        <w:t>民政系统安全生产责任体系。聚焦安全工作的全过程全链条，掌握民政系统安全工作底数，有效提升安全管理工作水平，切实维护好广大民政服务对象生命财产安全，确保我</w:t>
      </w:r>
      <w:r>
        <w:rPr>
          <w:rFonts w:hint="eastAsia" w:ascii="仿宋" w:hAnsi="仿宋" w:eastAsia="仿宋" w:cs="仿宋"/>
          <w:sz w:val="32"/>
          <w:szCs w:val="32"/>
          <w:lang w:eastAsia="zh-CN"/>
        </w:rPr>
        <w:t>县</w:t>
      </w:r>
      <w:r>
        <w:rPr>
          <w:rFonts w:hint="eastAsia" w:ascii="仿宋" w:hAnsi="仿宋" w:eastAsia="仿宋" w:cs="仿宋"/>
          <w:sz w:val="32"/>
          <w:szCs w:val="32"/>
        </w:rPr>
        <w:t>民政系统平安稳定</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重点内容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安全生产责任制落实情况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重点检查各</w:t>
      </w:r>
      <w:r>
        <w:rPr>
          <w:rFonts w:hint="eastAsia" w:ascii="仿宋" w:hAnsi="仿宋" w:eastAsia="仿宋" w:cs="仿宋"/>
          <w:sz w:val="32"/>
          <w:szCs w:val="32"/>
          <w:lang w:val="en-US" w:eastAsia="zh-CN"/>
        </w:rPr>
        <w:t>乡（镇）</w:t>
      </w:r>
      <w:r>
        <w:rPr>
          <w:rFonts w:hint="eastAsia" w:ascii="仿宋" w:hAnsi="仿宋" w:eastAsia="仿宋" w:cs="仿宋"/>
          <w:sz w:val="32"/>
          <w:szCs w:val="32"/>
        </w:rPr>
        <w:t>是否组织专题学习贯彻习近平总书记关于安全生产工作的重要论述和指示批示精神</w:t>
      </w:r>
      <w:r>
        <w:rPr>
          <w:rFonts w:hint="eastAsia" w:ascii="仿宋" w:hAnsi="仿宋" w:eastAsia="仿宋" w:cs="仿宋"/>
          <w:sz w:val="32"/>
          <w:szCs w:val="32"/>
          <w:lang w:eastAsia="zh-CN"/>
        </w:rPr>
        <w:t>；</w:t>
      </w:r>
      <w:r>
        <w:rPr>
          <w:rFonts w:hint="eastAsia" w:ascii="仿宋" w:hAnsi="仿宋" w:eastAsia="仿宋" w:cs="仿宋"/>
          <w:sz w:val="32"/>
          <w:szCs w:val="32"/>
        </w:rPr>
        <w:t>是否扎实开展“以案促学”“以案促改”等警示教育活动；是否扎实开展《安全生产法》《安全生产十五条硬措施》及河南省50条和我市69条具体措施等学习活动；是否严格落实全员安全责任制和“三书一制”（安全生产主体责任“告知书”、安全生产“承诺书”、事故风险“警示书（函）”和安全责任“实名制”)工作要求，推动</w:t>
      </w:r>
      <w:r>
        <w:rPr>
          <w:rFonts w:hint="eastAsia" w:ascii="仿宋" w:hAnsi="仿宋" w:eastAsia="仿宋" w:cs="仿宋"/>
          <w:sz w:val="32"/>
          <w:szCs w:val="32"/>
          <w:lang w:val="en-US" w:eastAsia="zh-CN"/>
        </w:rPr>
        <w:t>乡（镇）</w:t>
      </w:r>
      <w:r>
        <w:rPr>
          <w:rFonts w:hint="eastAsia" w:ascii="仿宋" w:hAnsi="仿宋" w:eastAsia="仿宋" w:cs="仿宋"/>
          <w:sz w:val="32"/>
          <w:szCs w:val="32"/>
        </w:rPr>
        <w:t>和各民政服务机构不断健全安全生产责任体系；是否强化安全生产责任落地落实，聚焦安全责任清单管理，做到有清单、有台账、有机制、有抓手；是否切实履行行业监管责任，综合运用行政处罚、失信惩戒、公开曝光等多种手段，协调各有关部门抓实辖区内各民政服务机构严格落实安全生产全员责任制；是否着力构建安全风险管控和预防机制，完善细化责任落实机制</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(二)安全隐患排查整治情况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聚焦冬春季安全隐患防控重点领域、重要场所和薄弱区域突出问题，实施精准整治。</w:t>
      </w:r>
      <w:r>
        <w:rPr>
          <w:rFonts w:hint="eastAsia" w:ascii="仿宋" w:hAnsi="仿宋" w:eastAsia="仿宋" w:cs="仿宋"/>
          <w:b/>
          <w:bCs/>
          <w:sz w:val="32"/>
          <w:szCs w:val="32"/>
        </w:rPr>
        <w:t>消防、电气安全方面</w:t>
      </w:r>
      <w:r>
        <w:rPr>
          <w:rFonts w:hint="eastAsia" w:ascii="仿宋" w:hAnsi="仿宋" w:eastAsia="仿宋" w:cs="仿宋"/>
          <w:sz w:val="32"/>
          <w:szCs w:val="32"/>
        </w:rPr>
        <w:t>，重点检查机构的消防控制室、电缆井、管道井、配电房、闷顶吊顶、库房、宿舍等隐蔽空间；查看电缆井管道井防火封堵是否严密，强电弱电敷设是否符合规定，竖井管道内是否堆放可燃物；楼舍、休息室、更衣室是否违规存放易燃、易爆物品，是否存在违规使用电热毯、电炉、煤火等其它取暖设备，安全通道是否畅通：闷顶吊顶内是否存在电气线路敷设不规范、私拉乱接电线等情况；对爆炸、火灾危险场所内可能产生静电危险的设备和管道，是否采取静电接地措施；彻底整治堵塞占用疏散通道和消防车通道、常闭防火门开启、违规使用易燃可燃彩钢板、违规用火用电用气、电动自行车违规停放充电等问题。</w:t>
      </w:r>
      <w:r>
        <w:rPr>
          <w:rFonts w:hint="eastAsia" w:ascii="仿宋" w:hAnsi="仿宋" w:eastAsia="仿宋" w:cs="仿宋"/>
          <w:b/>
          <w:bCs/>
          <w:sz w:val="32"/>
          <w:szCs w:val="32"/>
        </w:rPr>
        <w:t>食品安全、燃气使用安全方面，</w:t>
      </w:r>
      <w:r>
        <w:rPr>
          <w:rFonts w:hint="eastAsia" w:ascii="仿宋" w:hAnsi="仿宋" w:eastAsia="仿宋" w:cs="仿宋"/>
          <w:sz w:val="32"/>
          <w:szCs w:val="32"/>
        </w:rPr>
        <w:t>重点检查从业人员是否具备有效的健康证明，定期进行体检；食品加工、贮存、留样等设施设备运转正常，并保持清洁；食品处理区是否设置分类加工区，区分生熟食加工区域；每餐次的食品是否均按要求进行留样，食品留样名称、重量、保存时间、登记情况是否符合要求；食品经营许可证、餐饮服务食品安全等级标识、日常监督检查结果齐全，并公示，是否定期请专业部门对燃气设施设备进行专项检查；厨房操作间、储藏间是否按要求设置防尘及有害生物防治设备设施。</w:t>
      </w:r>
      <w:r>
        <w:rPr>
          <w:rFonts w:hint="eastAsia" w:ascii="仿宋" w:hAnsi="仿宋" w:eastAsia="仿宋" w:cs="仿宋"/>
          <w:b/>
          <w:bCs/>
          <w:sz w:val="32"/>
          <w:szCs w:val="32"/>
        </w:rPr>
        <w:t>安全制度落实方面</w:t>
      </w:r>
      <w:r>
        <w:rPr>
          <w:rFonts w:hint="eastAsia" w:ascii="仿宋" w:hAnsi="仿宋" w:eastAsia="仿宋" w:cs="仿宋"/>
          <w:sz w:val="32"/>
          <w:szCs w:val="32"/>
        </w:rPr>
        <w:t>，重点检查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各乡（镇）</w:t>
      </w:r>
      <w:r>
        <w:rPr>
          <w:rFonts w:hint="eastAsia" w:ascii="仿宋" w:hAnsi="仿宋" w:eastAsia="仿宋" w:cs="仿宋"/>
          <w:sz w:val="32"/>
          <w:szCs w:val="32"/>
        </w:rPr>
        <w:t>是否及时督促各</w:t>
      </w:r>
      <w:r>
        <w:rPr>
          <w:rFonts w:hint="eastAsia" w:ascii="仿宋" w:hAnsi="仿宋" w:eastAsia="仿宋" w:cs="仿宋"/>
          <w:sz w:val="32"/>
          <w:szCs w:val="32"/>
          <w:lang w:val="en-US" w:eastAsia="zh-CN"/>
        </w:rPr>
        <w:t>养老服务</w:t>
      </w:r>
      <w:r>
        <w:rPr>
          <w:rFonts w:hint="eastAsia" w:ascii="仿宋" w:hAnsi="仿宋" w:eastAsia="仿宋" w:cs="仿宋"/>
          <w:sz w:val="32"/>
          <w:szCs w:val="32"/>
        </w:rPr>
        <w:t>机构扎实做好“日巡查”“周例会”工作，对巡查发现的安全风险隐患立整立改，对安全工作中的难点问题定期研究解决；是否对前几轮检查中发现的问题，进行现场实地查看整改落实情况，确保机构不带病运行；是否结合本地冬春季火灾防控，以及燃气、食品、电气、住房等其他安全工作形势，组织开展机构自查、部门联合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(三)灾害应急处置工作开展情况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重点检查</w:t>
      </w:r>
      <w:r>
        <w:rPr>
          <w:rFonts w:hint="eastAsia" w:ascii="仿宋" w:hAnsi="仿宋" w:eastAsia="仿宋" w:cs="仿宋"/>
          <w:sz w:val="32"/>
          <w:szCs w:val="32"/>
          <w:lang w:val="en-US" w:eastAsia="zh-CN"/>
        </w:rPr>
        <w:t>乡（镇）</w:t>
      </w:r>
      <w:r>
        <w:rPr>
          <w:rFonts w:hint="eastAsia" w:ascii="仿宋" w:hAnsi="仿宋" w:eastAsia="仿宋" w:cs="仿宋"/>
          <w:sz w:val="32"/>
          <w:szCs w:val="32"/>
        </w:rPr>
        <w:t>是否结合本地实际和冬春季安全风险特点，对消防、燃气、自然灾害等各类突发事故定期开展研判，及时修订完善相关应急预案，并组织各民政服务机构扎实开展灭火、疏散、救灾等应急实战演练，有效提升应急工作水平</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(四)专项工作开展情况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对今年各专项安全行动工作情况进行“回头看”，查看活动开展情况和安全隐患排查整改情况。重点检查各</w:t>
      </w:r>
      <w:r>
        <w:rPr>
          <w:rFonts w:hint="eastAsia" w:ascii="仿宋" w:hAnsi="仿宋" w:eastAsia="仿宋" w:cs="仿宋"/>
          <w:sz w:val="32"/>
          <w:szCs w:val="32"/>
          <w:lang w:val="en-US" w:eastAsia="zh-CN"/>
        </w:rPr>
        <w:t>乡（镇）、各养老机构</w:t>
      </w:r>
      <w:r>
        <w:rPr>
          <w:rFonts w:hint="eastAsia" w:ascii="仿宋" w:hAnsi="仿宋" w:eastAsia="仿宋" w:cs="仿宋"/>
          <w:sz w:val="32"/>
          <w:szCs w:val="32"/>
        </w:rPr>
        <w:t>开展落实重大事故隐患专项排查整治行动情况，是否严格对照判定标准，有效推进；是否根据商丘市城镇燃气安全专项整治行动部署，</w:t>
      </w:r>
      <w:r>
        <w:rPr>
          <w:rFonts w:hint="eastAsia" w:ascii="仿宋" w:hAnsi="仿宋" w:eastAsia="仿宋" w:cs="仿宋"/>
          <w:sz w:val="32"/>
          <w:szCs w:val="32"/>
          <w:lang w:eastAsia="zh-CN"/>
        </w:rPr>
        <w:t>扎实</w:t>
      </w:r>
      <w:r>
        <w:rPr>
          <w:rFonts w:hint="eastAsia" w:ascii="仿宋" w:hAnsi="仿宋" w:eastAsia="仿宋" w:cs="仿宋"/>
          <w:sz w:val="32"/>
          <w:szCs w:val="32"/>
        </w:rPr>
        <w:t>开展燃气专项整治工作；是否按照市集中用餐单位食品安全问题专项治理行动要求，切实加强行业管理，确保食品安全工作落地落实；是否根据市安委会“六查一打”专项行动工作方案，严格对照有关部门工作部署，开展消防、燃气等方面的专项排查整治，切实压紧压实工作责任，全面排查整治辖区内各民政服务机构的各类风险隐患；是否认真组织学习民政部印发的《养老机构重大事故隐患判定标准》，并严格按照标准要求开展重大事故隐患排查整治工作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三、工作安排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rPr>
        <w:t>(一)动员部署阶段(2023年12月10日前)。各</w:t>
      </w:r>
      <w:r>
        <w:rPr>
          <w:rFonts w:hint="eastAsia" w:ascii="仿宋" w:hAnsi="仿宋" w:eastAsia="仿宋" w:cs="仿宋"/>
          <w:sz w:val="32"/>
          <w:szCs w:val="32"/>
          <w:lang w:val="en-US" w:eastAsia="zh-CN"/>
        </w:rPr>
        <w:t>乡（镇）</w:t>
      </w:r>
      <w:r>
        <w:rPr>
          <w:rFonts w:hint="eastAsia" w:ascii="仿宋" w:hAnsi="仿宋" w:eastAsia="仿宋" w:cs="仿宋"/>
          <w:sz w:val="32"/>
          <w:szCs w:val="32"/>
        </w:rPr>
        <w:t>结合当地实际，根据通知要求，扎实开展形势分析、方案制定和宣讲动员等工作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(二)排查整治阶段(2023年12月11日至2024年2月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20日前)。各</w:t>
      </w:r>
      <w:r>
        <w:rPr>
          <w:rFonts w:hint="eastAsia" w:ascii="仿宋" w:hAnsi="仿宋" w:eastAsia="仿宋" w:cs="仿宋"/>
          <w:sz w:val="32"/>
          <w:szCs w:val="32"/>
          <w:lang w:val="en-US" w:eastAsia="zh-CN"/>
        </w:rPr>
        <w:t>乡（镇）</w:t>
      </w:r>
      <w:r>
        <w:rPr>
          <w:rFonts w:hint="eastAsia" w:ascii="仿宋" w:hAnsi="仿宋" w:eastAsia="仿宋" w:cs="仿宋"/>
          <w:sz w:val="32"/>
          <w:szCs w:val="32"/>
          <w:lang w:eastAsia="zh-CN"/>
        </w:rPr>
        <w:t>对照工作方案，组织开展机构安全风险自查整改，并适时对落实情况开展实地检查，重点对频发多发、屡犯不改的问题开展排查整治。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(三)总结验收阶段(2024年2月</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日至2024年2月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27</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县民</w:t>
      </w:r>
      <w:r>
        <w:rPr>
          <w:rFonts w:hint="eastAsia" w:ascii="仿宋" w:hAnsi="仿宋" w:eastAsia="仿宋" w:cs="仿宋"/>
          <w:sz w:val="32"/>
          <w:szCs w:val="32"/>
          <w:lang w:eastAsia="zh-CN"/>
        </w:rPr>
        <w:t>政局采取交叉互查的方式，开展实地检查，由</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局领导带队组织选取骨干力量，</w:t>
      </w:r>
      <w:r>
        <w:rPr>
          <w:rFonts w:hint="eastAsia" w:ascii="仿宋" w:hAnsi="仿宋" w:eastAsia="仿宋" w:cs="仿宋"/>
          <w:sz w:val="32"/>
          <w:szCs w:val="32"/>
          <w:lang w:val="en-US" w:eastAsia="zh-CN"/>
        </w:rPr>
        <w:t>乡（镇）</w:t>
      </w:r>
      <w:r>
        <w:rPr>
          <w:rFonts w:hint="eastAsia" w:ascii="仿宋" w:hAnsi="仿宋" w:eastAsia="仿宋" w:cs="仿宋"/>
          <w:sz w:val="32"/>
          <w:szCs w:val="32"/>
          <w:lang w:eastAsia="zh-CN"/>
        </w:rPr>
        <w:t>负责安全工作的同志参加，对冬春季节安全风险隐患专项排查整治</w:t>
      </w:r>
      <w:r>
        <w:rPr>
          <w:rFonts w:hint="eastAsia" w:ascii="仿宋" w:hAnsi="仿宋" w:eastAsia="仿宋" w:cs="仿宋"/>
          <w:sz w:val="32"/>
          <w:szCs w:val="32"/>
          <w:lang w:val="en-US" w:eastAsia="zh-CN"/>
        </w:rPr>
        <w:t>行</w:t>
      </w:r>
      <w:r>
        <w:rPr>
          <w:rFonts w:hint="eastAsia" w:ascii="仿宋" w:hAnsi="仿宋" w:eastAsia="仿宋" w:cs="仿宋"/>
          <w:sz w:val="32"/>
          <w:szCs w:val="32"/>
          <w:lang w:eastAsia="zh-CN"/>
        </w:rPr>
        <w:t>动进行专项检查，总结经验做法，固化工作成效，健全完善防范化解重大事故隐患风险长效机制。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(一)高度重视，加强领导。</w:t>
      </w:r>
      <w:r>
        <w:rPr>
          <w:rFonts w:hint="eastAsia" w:ascii="仿宋" w:hAnsi="仿宋" w:eastAsia="仿宋" w:cs="仿宋"/>
          <w:sz w:val="32"/>
          <w:szCs w:val="32"/>
          <w:lang w:val="en-US" w:eastAsia="zh-CN"/>
        </w:rPr>
        <w:t>各乡（镇）</w:t>
      </w:r>
      <w:r>
        <w:rPr>
          <w:rFonts w:hint="eastAsia" w:ascii="仿宋" w:hAnsi="仿宋" w:eastAsia="仿宋" w:cs="仿宋"/>
          <w:sz w:val="32"/>
          <w:szCs w:val="32"/>
          <w:lang w:eastAsia="zh-CN"/>
        </w:rPr>
        <w:t>要进一步提高政治站位，强化政治意识，充分认识防范化解重大安全风险的重要性和紧迫性，强化底线思维，增强做好安全隐患排查整治工作的政治自觉和行动自觉。主要</w:t>
      </w:r>
      <w:r>
        <w:rPr>
          <w:rFonts w:hint="eastAsia" w:ascii="仿宋" w:hAnsi="仿宋" w:eastAsia="仿宋" w:cs="仿宋"/>
          <w:sz w:val="32"/>
          <w:szCs w:val="32"/>
          <w:lang w:val="en-US" w:eastAsia="zh-CN"/>
        </w:rPr>
        <w:t>负责人</w:t>
      </w:r>
      <w:r>
        <w:rPr>
          <w:rFonts w:hint="eastAsia" w:ascii="仿宋" w:hAnsi="仿宋" w:eastAsia="仿宋" w:cs="仿宋"/>
          <w:sz w:val="32"/>
          <w:szCs w:val="32"/>
          <w:lang w:eastAsia="zh-CN"/>
        </w:rPr>
        <w:t>要亲力亲为靠前指挥，</w:t>
      </w:r>
      <w:r>
        <w:rPr>
          <w:rFonts w:hint="eastAsia" w:ascii="仿宋" w:hAnsi="仿宋" w:eastAsia="仿宋" w:cs="仿宋"/>
          <w:sz w:val="32"/>
          <w:szCs w:val="32"/>
          <w:lang w:val="en-US" w:eastAsia="zh-CN"/>
        </w:rPr>
        <w:t>第一手工作人员</w:t>
      </w:r>
      <w:r>
        <w:rPr>
          <w:rFonts w:hint="eastAsia" w:ascii="仿宋" w:hAnsi="仿宋" w:eastAsia="仿宋" w:cs="仿宋"/>
          <w:sz w:val="32"/>
          <w:szCs w:val="32"/>
          <w:lang w:eastAsia="zh-CN"/>
        </w:rPr>
        <w:t>亲自</w:t>
      </w:r>
      <w:r>
        <w:rPr>
          <w:rFonts w:hint="eastAsia" w:ascii="仿宋" w:hAnsi="仿宋" w:eastAsia="仿宋" w:cs="仿宋"/>
          <w:sz w:val="32"/>
          <w:szCs w:val="32"/>
          <w:lang w:val="en-US" w:eastAsia="zh-CN"/>
        </w:rPr>
        <w:t>操</w:t>
      </w:r>
      <w:r>
        <w:rPr>
          <w:rFonts w:hint="eastAsia" w:ascii="仿宋" w:hAnsi="仿宋" w:eastAsia="仿宋" w:cs="仿宋"/>
          <w:sz w:val="32"/>
          <w:szCs w:val="32"/>
          <w:lang w:eastAsia="zh-CN"/>
        </w:rPr>
        <w:t>办，加强调度指挥，狠抓各项责任措施落实，全面推动排查整治行动扎实开展。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(二)部门联动，强化协作。</w:t>
      </w:r>
      <w:r>
        <w:rPr>
          <w:rFonts w:hint="eastAsia" w:ascii="仿宋" w:hAnsi="仿宋" w:eastAsia="仿宋" w:cs="仿宋"/>
          <w:sz w:val="32"/>
          <w:szCs w:val="32"/>
          <w:lang w:val="en-US" w:eastAsia="zh-CN"/>
        </w:rPr>
        <w:t>各乡（镇）</w:t>
      </w:r>
      <w:r>
        <w:rPr>
          <w:rFonts w:hint="eastAsia" w:ascii="仿宋" w:hAnsi="仿宋" w:eastAsia="仿宋" w:cs="仿宋"/>
          <w:sz w:val="32"/>
          <w:szCs w:val="32"/>
          <w:lang w:eastAsia="zh-CN"/>
        </w:rPr>
        <w:t>要按照“管行业必须管安全、管业务必须管安全、管生产经营必须管安全”的要求，加强与应急、消防、住建、城管、市场监管等部门的业务协作，强化条线监管，建立健全定期会商、信息共享、情况通报、联合执法等机制，形成安全监管合力，提高排查整治的专业性，织密安全监管网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(三)广泛宣传，全员参与。</w:t>
      </w:r>
      <w:r>
        <w:rPr>
          <w:rFonts w:hint="eastAsia" w:ascii="仿宋" w:hAnsi="仿宋" w:eastAsia="仿宋" w:cs="仿宋"/>
          <w:sz w:val="32"/>
          <w:szCs w:val="32"/>
          <w:lang w:val="en-US" w:eastAsia="zh-CN"/>
        </w:rPr>
        <w:t>各乡（镇）</w:t>
      </w:r>
      <w:r>
        <w:rPr>
          <w:rFonts w:hint="eastAsia" w:ascii="仿宋" w:hAnsi="仿宋" w:eastAsia="仿宋" w:cs="仿宋"/>
          <w:sz w:val="32"/>
          <w:szCs w:val="32"/>
          <w:lang w:eastAsia="zh-CN"/>
        </w:rPr>
        <w:t>要充分利用各种媒体，采取多种方式，对冬春季节安全风险隐患专项排查整治行动进行广泛宣传发动，营造浓厚的舆论氛围，形成全员参与的良好局面。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(四)压实责任，严肃问责。严格落实“党政同责、一岗双责、齐抓共管、失职追责”，对自查自改不认真、隐患整治不彻底、责任不落实、组织不得力的，</w:t>
      </w:r>
      <w:r>
        <w:rPr>
          <w:rFonts w:hint="eastAsia" w:ascii="仿宋" w:hAnsi="仿宋" w:eastAsia="仿宋" w:cs="仿宋"/>
          <w:sz w:val="32"/>
          <w:szCs w:val="32"/>
          <w:lang w:val="en-US" w:eastAsia="zh-CN"/>
        </w:rPr>
        <w:t>县</w:t>
      </w:r>
      <w:r>
        <w:rPr>
          <w:rFonts w:hint="eastAsia" w:ascii="仿宋" w:hAnsi="仿宋" w:eastAsia="仿宋" w:cs="仿宋"/>
          <w:sz w:val="32"/>
          <w:szCs w:val="32"/>
          <w:lang w:eastAsia="zh-CN"/>
        </w:rPr>
        <w:t>民政局将依规依纪通报</w:t>
      </w:r>
      <w:r>
        <w:rPr>
          <w:rFonts w:hint="eastAsia" w:ascii="仿宋" w:hAnsi="仿宋" w:eastAsia="仿宋" w:cs="仿宋"/>
          <w:sz w:val="32"/>
          <w:szCs w:val="32"/>
        </w:rPr>
        <w:t>批评、组织约谈、严肃问责。对重大事故隐患未采取有效措施甚至放任不管的，依法追究相关责任人员的责任。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各乡（镇）</w:t>
      </w:r>
      <w:r>
        <w:rPr>
          <w:rFonts w:hint="eastAsia" w:ascii="仿宋" w:hAnsi="仿宋" w:eastAsia="仿宋" w:cs="仿宋"/>
          <w:sz w:val="32"/>
          <w:szCs w:val="32"/>
        </w:rPr>
        <w:t>每月</w:t>
      </w:r>
      <w:r>
        <w:rPr>
          <w:rFonts w:hint="eastAsia" w:ascii="仿宋" w:hAnsi="仿宋" w:eastAsia="仿宋" w:cs="仿宋"/>
          <w:sz w:val="32"/>
          <w:szCs w:val="32"/>
          <w:lang w:val="en-US" w:eastAsia="zh-CN"/>
        </w:rPr>
        <w:t>30</w:t>
      </w:r>
      <w:r>
        <w:rPr>
          <w:rFonts w:hint="eastAsia" w:ascii="仿宋" w:hAnsi="仿宋" w:eastAsia="仿宋" w:cs="仿宋"/>
          <w:sz w:val="32"/>
          <w:szCs w:val="32"/>
        </w:rPr>
        <w:t>日前报送冬春季节安全风险隐患专项排查整治行动问题、整改、责任清单（附件</w:t>
      </w:r>
      <w:r>
        <w:rPr>
          <w:rFonts w:hint="eastAsia" w:ascii="仿宋" w:hAnsi="仿宋" w:eastAsia="仿宋" w:cs="仿宋"/>
          <w:sz w:val="32"/>
          <w:szCs w:val="32"/>
          <w:lang w:eastAsia="zh-CN"/>
        </w:rPr>
        <w:t>）：</w:t>
      </w:r>
      <w:r>
        <w:rPr>
          <w:rFonts w:hint="eastAsia" w:ascii="仿宋" w:hAnsi="仿宋" w:eastAsia="仿宋" w:cs="仿宋"/>
          <w:sz w:val="32"/>
          <w:szCs w:val="32"/>
        </w:rPr>
        <w:t>2024年2月20日前报送冬春季节风险隐患专项排查整治行动工作总结。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附件：冬春季节安全风险隐患专项排查行动问题清单、整改清单、责任清单。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80" w:firstLineChars="19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夏邑县民政局</w:t>
      </w:r>
    </w:p>
    <w:p>
      <w:pPr>
        <w:keepNext w:val="0"/>
        <w:keepLines w:val="0"/>
        <w:pageBreakBefore w:val="0"/>
        <w:widowControl w:val="0"/>
        <w:tabs>
          <w:tab w:val="left" w:pos="5968"/>
        </w:tabs>
        <w:kinsoku/>
        <w:wordWrap/>
        <w:overflowPunct/>
        <w:topLinePunct w:val="0"/>
        <w:autoSpaceDE/>
        <w:autoSpaceDN/>
        <w:bidi w:val="0"/>
        <w:adjustRightInd/>
        <w:snapToGrid/>
        <w:spacing w:line="580" w:lineRule="exact"/>
        <w:ind w:firstLine="5760" w:firstLineChars="18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2023年12月17日</w:t>
      </w:r>
    </w:p>
    <w:p>
      <w:pPr>
        <w:numPr>
          <w:ilvl w:val="0"/>
          <w:numId w:val="0"/>
        </w:numPr>
        <w:rPr>
          <w:rFonts w:hint="eastAsia" w:ascii="仿宋" w:hAnsi="仿宋" w:eastAsia="仿宋" w:cs="仿宋"/>
          <w:b/>
          <w:bCs/>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7"/>
        <w:bidi w:val="0"/>
        <w:rPr>
          <w:rFonts w:hint="eastAsia"/>
          <w:lang w:val="en-US" w:eastAsia="zh-CN"/>
        </w:rPr>
      </w:pPr>
      <w:r>
        <w:rPr>
          <w:rFonts w:hint="eastAsia"/>
          <w:lang w:val="en-US" w:eastAsia="zh-CN"/>
        </w:rPr>
        <w:t>冬春季节安全风险隐患专项排查整治行动问题清单、整改清单、责任清单</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填报单位：　　　　　　　　　　　　　　　　　　　　　　　填报日期：</w:t>
      </w:r>
    </w:p>
    <w:tbl>
      <w:tblPr>
        <w:tblStyle w:val="12"/>
        <w:tblpPr w:leftFromText="180" w:rightFromText="180" w:vertAnchor="text" w:horzAnchor="page" w:tblpX="1207" w:tblpY="73"/>
        <w:tblOverlap w:val="never"/>
        <w:tblW w:w="14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18"/>
        <w:gridCol w:w="1459"/>
        <w:gridCol w:w="1459"/>
        <w:gridCol w:w="2836"/>
        <w:gridCol w:w="1879"/>
        <w:gridCol w:w="1879"/>
        <w:gridCol w:w="10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00" w:type="dxa"/>
            <w:vMerge w:val="restart"/>
            <w:noWrap w:val="0"/>
            <w:vAlign w:val="center"/>
          </w:tcPr>
          <w:p>
            <w:pPr>
              <w:pStyle w:val="2"/>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79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问题清单</w:t>
            </w:r>
          </w:p>
        </w:tc>
        <w:tc>
          <w:tcPr>
            <w:tcW w:w="37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整改清单</w:t>
            </w:r>
          </w:p>
        </w:tc>
        <w:tc>
          <w:tcPr>
            <w:tcW w:w="22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被检查单位</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检查人员</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检查时间</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隐患问题</w:t>
            </w: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整改措施</w:t>
            </w: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整改结果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及完成时限</w:t>
            </w: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机构负责人</w:t>
            </w: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民政部门责任人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4"/>
                <w:vertAlign w:val="baseline"/>
                <w:lang w:val="en-US"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4"/>
                <w:szCs w:val="24"/>
                <w:vertAlign w:val="baseline"/>
                <w:lang w:val="en-US" w:eastAsia="zh-CN"/>
              </w:rPr>
            </w:pPr>
          </w:p>
        </w:tc>
      </w:tr>
    </w:tbl>
    <w:p>
      <w:pPr>
        <w:numPr>
          <w:ilvl w:val="0"/>
          <w:numId w:val="0"/>
        </w:numPr>
        <w:rPr>
          <w:rFonts w:hint="eastAsia" w:ascii="仿宋" w:hAnsi="仿宋" w:eastAsia="仿宋" w:cs="仿宋"/>
          <w:b/>
          <w:bCs/>
          <w:color w:val="000000" w:themeColor="text1"/>
          <w:sz w:val="32"/>
          <w:szCs w:val="32"/>
          <w:lang w:val="en-US" w:eastAsia="zh-CN"/>
          <w14:textFill>
            <w14:solidFill>
              <w14:schemeClr w14:val="tx1"/>
            </w14:solidFill>
          </w14:textFill>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ZjE0ODc3MDNhMmUyNmY3MmZmOTE1ZjMzMTlhZTcifQ=="/>
  </w:docVars>
  <w:rsids>
    <w:rsidRoot w:val="00000000"/>
    <w:rsid w:val="01837A0C"/>
    <w:rsid w:val="0B211607"/>
    <w:rsid w:val="0D2B61B4"/>
    <w:rsid w:val="0E62536D"/>
    <w:rsid w:val="104D6004"/>
    <w:rsid w:val="12805209"/>
    <w:rsid w:val="183F66D6"/>
    <w:rsid w:val="19F152B1"/>
    <w:rsid w:val="1B0F1D66"/>
    <w:rsid w:val="1C1677D6"/>
    <w:rsid w:val="20FF1A90"/>
    <w:rsid w:val="24F950C1"/>
    <w:rsid w:val="2506211B"/>
    <w:rsid w:val="256E5E0C"/>
    <w:rsid w:val="264F555E"/>
    <w:rsid w:val="26770E11"/>
    <w:rsid w:val="276A761C"/>
    <w:rsid w:val="2D141108"/>
    <w:rsid w:val="2D4632DE"/>
    <w:rsid w:val="2D8A044B"/>
    <w:rsid w:val="30EA1389"/>
    <w:rsid w:val="31740BD0"/>
    <w:rsid w:val="331B28D1"/>
    <w:rsid w:val="39004F2E"/>
    <w:rsid w:val="392338DB"/>
    <w:rsid w:val="3A9611AB"/>
    <w:rsid w:val="3AC83F39"/>
    <w:rsid w:val="3AF332A2"/>
    <w:rsid w:val="3B745250"/>
    <w:rsid w:val="3C8B6ACE"/>
    <w:rsid w:val="3D046583"/>
    <w:rsid w:val="3D404AB5"/>
    <w:rsid w:val="3D725D6E"/>
    <w:rsid w:val="40BD5CED"/>
    <w:rsid w:val="4168282C"/>
    <w:rsid w:val="41730CBE"/>
    <w:rsid w:val="41C516CD"/>
    <w:rsid w:val="42F90588"/>
    <w:rsid w:val="43F332CC"/>
    <w:rsid w:val="46E44703"/>
    <w:rsid w:val="46FA14EA"/>
    <w:rsid w:val="474979AD"/>
    <w:rsid w:val="48230E0B"/>
    <w:rsid w:val="48ED5A36"/>
    <w:rsid w:val="49680E8F"/>
    <w:rsid w:val="4B186FF8"/>
    <w:rsid w:val="4D64331A"/>
    <w:rsid w:val="4DBD6924"/>
    <w:rsid w:val="4F687641"/>
    <w:rsid w:val="507612B1"/>
    <w:rsid w:val="52361F40"/>
    <w:rsid w:val="556B0D17"/>
    <w:rsid w:val="567F2378"/>
    <w:rsid w:val="5744103A"/>
    <w:rsid w:val="5FE4471A"/>
    <w:rsid w:val="62447CB3"/>
    <w:rsid w:val="629A03A7"/>
    <w:rsid w:val="62EF26B0"/>
    <w:rsid w:val="68B81109"/>
    <w:rsid w:val="6A3754D9"/>
    <w:rsid w:val="725D42D9"/>
    <w:rsid w:val="7606533A"/>
    <w:rsid w:val="776C1275"/>
    <w:rsid w:val="788374CA"/>
    <w:rsid w:val="7B587D69"/>
    <w:rsid w:val="7B79064A"/>
    <w:rsid w:val="7C9900FA"/>
    <w:rsid w:val="7DFE0D56"/>
    <w:rsid w:val="7E51736F"/>
    <w:rsid w:val="7E8B65D9"/>
    <w:rsid w:val="7F52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8">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customStyle="1" w:styleId="3">
    <w:name w:val="style4"/>
    <w:basedOn w:val="4"/>
    <w:next w:val="6"/>
    <w:qFormat/>
    <w:uiPriority w:val="0"/>
    <w:pPr>
      <w:widowControl/>
      <w:spacing w:before="100" w:beforeAutospacing="1" w:after="100" w:afterAutospacing="1"/>
      <w:jc w:val="left"/>
    </w:pPr>
    <w:rPr>
      <w:rFonts w:ascii="宋体" w:hAnsi="宋体" w:cs="宋体"/>
      <w:kern w:val="0"/>
      <w:sz w:val="18"/>
      <w:szCs w:val="18"/>
    </w:rPr>
  </w:style>
  <w:style w:type="paragraph" w:customStyle="1" w:styleId="4">
    <w:name w:val="正文1"/>
    <w:next w:val="5"/>
    <w:qFormat/>
    <w:uiPriority w:val="0"/>
    <w:pPr>
      <w:jc w:val="both"/>
    </w:pPr>
    <w:rPr>
      <w:rFonts w:ascii="Calibri" w:hAnsi="Calibri" w:eastAsia="宋体" w:cs="Times New Roman"/>
      <w:sz w:val="32"/>
      <w:szCs w:val="32"/>
      <w:lang w:val="en-US" w:eastAsia="zh-CN" w:bidi="ar-SA"/>
    </w:rPr>
  </w:style>
  <w:style w:type="paragraph" w:styleId="5">
    <w:name w:val="Body Text First Indent"/>
    <w:basedOn w:val="2"/>
    <w:next w:val="1"/>
    <w:unhideWhenUsed/>
    <w:qFormat/>
    <w:uiPriority w:val="99"/>
    <w:pPr>
      <w:ind w:firstLine="420" w:firstLineChars="100"/>
    </w:pPr>
  </w:style>
  <w:style w:type="paragraph" w:customStyle="1" w:styleId="6">
    <w:name w:val="2"/>
    <w:basedOn w:val="1"/>
    <w:next w:val="1"/>
    <w:autoRedefine/>
    <w:qFormat/>
    <w:uiPriority w:val="0"/>
    <w:pPr>
      <w:spacing w:line="360" w:lineRule="auto"/>
    </w:pPr>
    <w:rPr>
      <w:rFonts w:eastAsia="仿宋_GB2312"/>
      <w:sz w:val="28"/>
      <w:szCs w:val="28"/>
    </w:rPr>
  </w:style>
  <w:style w:type="paragraph" w:styleId="9">
    <w:name w:val="Body Text 2"/>
    <w:basedOn w:val="1"/>
    <w:qFormat/>
    <w:uiPriority w:val="0"/>
    <w:pPr>
      <w:spacing w:after="120" w:line="480" w:lineRule="auto"/>
    </w:pPr>
    <w:rPr>
      <w:rFonts w:hint="default" w:ascii="Calibri" w:hAnsi="Calibri" w:eastAsia="宋体" w:cs="Times New Roman"/>
      <w:sz w:val="21"/>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auto"/>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7764</Words>
  <Characters>7860</Characters>
  <Lines>0</Lines>
  <Paragraphs>0</Paragraphs>
  <TotalTime>4</TotalTime>
  <ScaleCrop>false</ScaleCrop>
  <LinksUpToDate>false</LinksUpToDate>
  <CharactersWithSpaces>7879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2022-08-04T01:13:00Z</dcterms:created>
  <dc:creator>lenovo</dc:creator>
  <cp:lastModifiedBy>刘 琛</cp:lastModifiedBy>
  <cp:lastPrinted>2023-12-19T06:47:21Z</cp:lastPrinted>
  <dcterms:modified xsi:type="dcterms:W3CDTF">2023-12-19T06:50:29Z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5B5ACEE0DF5F46DAA218CA9D1ABC22B4_13</vt:lpwstr>
  </property>
</Properties>
</file>