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6"/>
          <w:szCs w:val="36"/>
        </w:rPr>
      </w:pPr>
    </w:p>
    <w:p>
      <w:pPr>
        <w:rPr>
          <w:rFonts w:ascii="仿宋" w:hAnsi="仿宋" w:eastAsia="仿宋" w:cs="仿宋"/>
          <w:sz w:val="18"/>
          <w:szCs w:val="18"/>
        </w:rPr>
      </w:pPr>
    </w:p>
    <w:p>
      <w:pPr>
        <w:rPr>
          <w:rFonts w:ascii="仿宋" w:hAnsi="仿宋" w:eastAsia="仿宋" w:cs="仿宋"/>
          <w:sz w:val="18"/>
          <w:szCs w:val="18"/>
        </w:rPr>
      </w:pPr>
    </w:p>
    <w:p>
      <w:pPr>
        <w:spacing w:line="400" w:lineRule="exact"/>
        <w:jc w:val="right"/>
        <w:rPr>
          <w:rFonts w:ascii="仿宋" w:hAnsi="仿宋" w:eastAsia="仿宋" w:cs="仿宋"/>
          <w:sz w:val="32"/>
          <w:szCs w:val="32"/>
        </w:rPr>
      </w:pPr>
      <w:r>
        <w:rPr>
          <w:rFonts w:hint="eastAsia" w:ascii="仿宋" w:hAnsi="仿宋" w:eastAsia="仿宋" w:cs="仿宋"/>
          <w:sz w:val="32"/>
          <w:szCs w:val="32"/>
        </w:rPr>
        <w:t xml:space="preserve">                     夏卫〔</w:t>
      </w:r>
      <w:r>
        <w:rPr>
          <w:rFonts w:hint="eastAsia" w:ascii="仿宋" w:hAnsi="仿宋" w:eastAsia="仿宋" w:cs="仿宋"/>
          <w:sz w:val="32"/>
          <w:szCs w:val="32"/>
          <w:lang w:val="en-US" w:eastAsia="zh-CN"/>
        </w:rPr>
        <w:t>2023</w:t>
      </w:r>
      <w:r>
        <w:rPr>
          <w:rFonts w:hint="eastAsia" w:ascii="仿宋" w:hAnsi="仿宋" w:eastAsia="仿宋" w:cs="仿宋"/>
          <w:sz w:val="32"/>
          <w:szCs w:val="32"/>
        </w:rPr>
        <w:t>〕</w:t>
      </w:r>
      <w:r>
        <w:rPr>
          <w:rFonts w:hint="eastAsia" w:ascii="仿宋" w:hAnsi="仿宋" w:eastAsia="仿宋" w:cs="仿宋"/>
          <w:sz w:val="32"/>
          <w:szCs w:val="32"/>
          <w:lang w:val="en-US" w:eastAsia="zh-CN"/>
        </w:rPr>
        <w:t>74</w:t>
      </w:r>
      <w:r>
        <w:rPr>
          <w:rFonts w:hint="eastAsia" w:ascii="仿宋" w:hAnsi="仿宋" w:eastAsia="仿宋" w:cs="仿宋"/>
          <w:sz w:val="32"/>
          <w:szCs w:val="32"/>
        </w:rPr>
        <w:t>号     签发人：郝桂芝</w:t>
      </w:r>
    </w:p>
    <w:p>
      <w:pPr>
        <w:spacing w:line="400" w:lineRule="exact"/>
        <w:jc w:val="right"/>
        <w:rPr>
          <w:rFonts w:ascii="仿宋" w:hAnsi="仿宋" w:eastAsia="仿宋" w:cs="仿宋"/>
          <w:sz w:val="32"/>
          <w:szCs w:val="32"/>
        </w:rPr>
      </w:pPr>
    </w:p>
    <w:p>
      <w:pPr>
        <w:spacing w:line="400" w:lineRule="exact"/>
        <w:jc w:val="right"/>
        <w:rPr>
          <w:rFonts w:ascii="仿宋" w:hAnsi="仿宋" w:eastAsia="仿宋" w:cs="仿宋"/>
          <w:sz w:val="32"/>
          <w:szCs w:val="32"/>
        </w:rPr>
      </w:pPr>
      <w:r>
        <w:rPr>
          <w:rFonts w:hint="eastAsia" w:ascii="仿宋" w:hAnsi="仿宋" w:eastAsia="仿宋" w:cs="仿宋"/>
          <w:sz w:val="32"/>
          <w:szCs w:val="32"/>
        </w:rPr>
        <w:t xml:space="preserve">                                </w:t>
      </w:r>
    </w:p>
    <w:p>
      <w:pPr>
        <w:spacing w:line="400" w:lineRule="exact"/>
        <w:jc w:val="center"/>
        <w:rPr>
          <w:rFonts w:ascii="仿宋" w:hAnsi="仿宋" w:eastAsia="仿宋" w:cs="仿宋"/>
          <w:sz w:val="32"/>
          <w:szCs w:val="32"/>
        </w:rPr>
      </w:pPr>
      <w:r>
        <w:rPr>
          <w:rFonts w:hint="eastAsia" w:ascii="仿宋" w:hAnsi="仿宋" w:eastAsia="仿宋" w:cs="仿宋"/>
          <w:sz w:val="32"/>
          <w:szCs w:val="32"/>
        </w:rPr>
        <w:t xml:space="preserve">                                        办理结果：A</w:t>
      </w:r>
    </w:p>
    <w:p>
      <w:pPr>
        <w:jc w:val="center"/>
        <w:rPr>
          <w:rFonts w:ascii="仿宋" w:hAnsi="仿宋" w:eastAsia="仿宋" w:cs="仿宋"/>
          <w:sz w:val="32"/>
          <w:szCs w:val="32"/>
        </w:rPr>
      </w:pPr>
    </w:p>
    <w:p>
      <w:pPr>
        <w:jc w:val="center"/>
        <w:rPr>
          <w:rFonts w:ascii="仿宋" w:hAnsi="仿宋" w:eastAsia="仿宋" w:cs="仿宋"/>
          <w:sz w:val="32"/>
          <w:szCs w:val="32"/>
        </w:rPr>
      </w:pPr>
    </w:p>
    <w:p>
      <w:pPr>
        <w:spacing w:line="70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对县第十六届人大三次会议</w:t>
      </w:r>
    </w:p>
    <w:p>
      <w:pPr>
        <w:spacing w:line="70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第 66号建议的答复</w:t>
      </w:r>
    </w:p>
    <w:p>
      <w:pPr>
        <w:spacing w:line="700" w:lineRule="exact"/>
        <w:rPr>
          <w:rFonts w:ascii="仿宋" w:hAnsi="仿宋" w:eastAsia="仿宋" w:cs="仿宋"/>
          <w:sz w:val="32"/>
          <w:szCs w:val="32"/>
        </w:rPr>
      </w:pPr>
    </w:p>
    <w:p>
      <w:pPr>
        <w:rPr>
          <w:rFonts w:ascii="仿宋" w:hAnsi="仿宋" w:eastAsia="仿宋" w:cs="仿宋"/>
          <w:sz w:val="32"/>
          <w:szCs w:val="32"/>
        </w:rPr>
      </w:pPr>
      <w:r>
        <w:rPr>
          <w:rFonts w:ascii="仿宋" w:hAnsi="仿宋" w:eastAsia="仿宋" w:cs="仿宋"/>
          <w:sz w:val="32"/>
          <w:szCs w:val="32"/>
        </w:rPr>
        <w:t>尊敬的</w:t>
      </w:r>
      <w:r>
        <w:rPr>
          <w:rFonts w:hint="eastAsia" w:ascii="仿宋" w:hAnsi="仿宋" w:eastAsia="仿宋" w:cs="仿宋"/>
          <w:sz w:val="32"/>
          <w:szCs w:val="32"/>
        </w:rPr>
        <w:t>邵铁岭等三位代表</w:t>
      </w:r>
      <w:r>
        <w:rPr>
          <w:rFonts w:ascii="仿宋" w:hAnsi="仿宋" w:eastAsia="仿宋" w:cs="仿宋"/>
          <w:sz w:val="32"/>
          <w:szCs w:val="32"/>
        </w:rPr>
        <w:t>：</w:t>
      </w:r>
    </w:p>
    <w:p>
      <w:pPr>
        <w:ind w:firstLine="640" w:firstLineChars="200"/>
        <w:rPr>
          <w:rFonts w:ascii="仿宋" w:hAnsi="仿宋" w:eastAsia="仿宋" w:cs="仿宋"/>
          <w:sz w:val="32"/>
          <w:szCs w:val="32"/>
        </w:rPr>
      </w:pPr>
      <w:r>
        <w:rPr>
          <w:rFonts w:ascii="仿宋" w:hAnsi="仿宋" w:eastAsia="仿宋" w:cs="仿宋"/>
          <w:sz w:val="32"/>
          <w:szCs w:val="32"/>
        </w:rPr>
        <w:t>您</w:t>
      </w:r>
      <w:r>
        <w:rPr>
          <w:rFonts w:hint="eastAsia" w:ascii="仿宋" w:hAnsi="仿宋" w:eastAsia="仿宋" w:cs="仿宋"/>
          <w:sz w:val="32"/>
          <w:szCs w:val="32"/>
        </w:rPr>
        <w:t>们</w:t>
      </w:r>
      <w:r>
        <w:rPr>
          <w:rFonts w:ascii="仿宋" w:hAnsi="仿宋" w:eastAsia="仿宋" w:cs="仿宋"/>
          <w:sz w:val="32"/>
          <w:szCs w:val="32"/>
        </w:rPr>
        <w:t>提出的</w:t>
      </w:r>
      <w:r>
        <w:rPr>
          <w:rFonts w:hint="eastAsia" w:ascii="仿宋" w:hAnsi="仿宋" w:eastAsia="仿宋" w:cs="仿宋"/>
          <w:sz w:val="32"/>
          <w:szCs w:val="32"/>
          <w:lang w:eastAsia="zh-CN"/>
        </w:rPr>
        <w:t>“</w:t>
      </w:r>
      <w:r>
        <w:rPr>
          <w:rFonts w:hint="eastAsia" w:ascii="仿宋" w:hAnsi="仿宋" w:eastAsia="仿宋" w:cs="仿宋"/>
          <w:sz w:val="32"/>
          <w:szCs w:val="32"/>
        </w:rPr>
        <w:t>加大医养结合投入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建议</w:t>
      </w:r>
      <w:r>
        <w:rPr>
          <w:rFonts w:ascii="仿宋" w:hAnsi="仿宋" w:eastAsia="仿宋" w:cs="仿宋"/>
          <w:sz w:val="32"/>
          <w:szCs w:val="32"/>
        </w:rPr>
        <w:t>已收悉，感谢您对我县</w:t>
      </w:r>
      <w:r>
        <w:rPr>
          <w:rFonts w:hint="eastAsia" w:ascii="仿宋" w:hAnsi="仿宋" w:eastAsia="仿宋" w:cs="仿宋"/>
          <w:sz w:val="32"/>
          <w:szCs w:val="32"/>
        </w:rPr>
        <w:t>医养结合</w:t>
      </w:r>
      <w:r>
        <w:rPr>
          <w:rFonts w:ascii="仿宋" w:hAnsi="仿宋" w:eastAsia="仿宋" w:cs="仿宋"/>
          <w:sz w:val="32"/>
          <w:szCs w:val="32"/>
        </w:rPr>
        <w:t>工作</w:t>
      </w:r>
      <w:r>
        <w:rPr>
          <w:rFonts w:hint="eastAsia" w:ascii="仿宋" w:hAnsi="仿宋" w:eastAsia="仿宋" w:cs="仿宋"/>
          <w:sz w:val="32"/>
          <w:szCs w:val="32"/>
        </w:rPr>
        <w:t>及</w:t>
      </w:r>
      <w:r>
        <w:rPr>
          <w:rFonts w:ascii="仿宋" w:hAnsi="仿宋" w:eastAsia="仿宋" w:cs="仿宋"/>
          <w:sz w:val="32"/>
          <w:szCs w:val="32"/>
        </w:rPr>
        <w:t>养老</w:t>
      </w:r>
      <w:r>
        <w:rPr>
          <w:rFonts w:hint="eastAsia" w:ascii="仿宋" w:hAnsi="仿宋" w:eastAsia="仿宋" w:cs="仿宋"/>
          <w:sz w:val="32"/>
          <w:szCs w:val="32"/>
        </w:rPr>
        <w:t>工作</w:t>
      </w:r>
      <w:r>
        <w:rPr>
          <w:rFonts w:ascii="仿宋" w:hAnsi="仿宋" w:eastAsia="仿宋" w:cs="仿宋"/>
          <w:sz w:val="32"/>
          <w:szCs w:val="32"/>
        </w:rPr>
        <w:t>的关心和支持。现就办理情况答复如下</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近年来，我县始终坚持把养老服务体系建设作为保障和改善民生的重要内容，着力构建以居家养老为基础、社区养老为依托、机构养老为支撑、各类服务机构协调发展、多种服务形式相互补充的社会化养老服务体系，养老服务业呈现出持续快速健康发展的良好势头。</w:t>
      </w:r>
    </w:p>
    <w:p>
      <w:pPr>
        <w:ind w:firstLine="640" w:firstLineChars="200"/>
        <w:rPr>
          <w:rFonts w:ascii="仿宋" w:hAnsi="仿宋" w:eastAsia="仿宋" w:cs="仿宋"/>
          <w:sz w:val="32"/>
          <w:szCs w:val="32"/>
        </w:rPr>
      </w:pPr>
      <w:r>
        <w:rPr>
          <w:rFonts w:hint="eastAsia" w:ascii="仿宋" w:hAnsi="仿宋" w:eastAsia="仿宋" w:cs="仿宋"/>
          <w:sz w:val="32"/>
          <w:szCs w:val="32"/>
        </w:rPr>
        <w:t>截止目前，全县已建成各类养老服务机构41处，其中：县属福利院1家，乡镇敬老院20所，社会办养老机构20家，其中医养结合的养老机构 5家（分别是：太平龙河湾、天伦养老服务有限公司、韩道口镇中心卫生院、东城医院、安康中医院 ）。全县共有养老床位数4412张，每千名老人拥有床位21张，提升老人幸福感获得感。我们的主要做法是：</w:t>
      </w:r>
    </w:p>
    <w:p>
      <w:pPr>
        <w:ind w:firstLine="640" w:firstLineChars="200"/>
        <w:rPr>
          <w:rFonts w:ascii="仿宋" w:hAnsi="仿宋" w:eastAsia="仿宋" w:cs="仿宋"/>
          <w:sz w:val="32"/>
          <w:szCs w:val="32"/>
        </w:rPr>
      </w:pPr>
      <w:r>
        <w:rPr>
          <w:rFonts w:hint="eastAsia" w:ascii="仿宋" w:hAnsi="仿宋" w:eastAsia="仿宋" w:cs="仿宋"/>
          <w:sz w:val="32"/>
          <w:szCs w:val="32"/>
        </w:rPr>
        <w:t>1、强化政府主导地位。联合住建、国土、民政等部门把养老机构建设纳入政府基础设施整体规划，合理进行养老服务机构定点布局，加大财政投入力度，对养老机构和养老服务设施的数量、规模、用地等进行合理规划布局，对养老服务发展的当前和长远目标进行科学规划。</w:t>
      </w:r>
    </w:p>
    <w:p>
      <w:pPr>
        <w:ind w:firstLine="640" w:firstLineChars="200"/>
        <w:rPr>
          <w:rFonts w:ascii="仿宋" w:hAnsi="仿宋" w:eastAsia="仿宋" w:cs="仿宋"/>
          <w:sz w:val="32"/>
          <w:szCs w:val="32"/>
        </w:rPr>
      </w:pPr>
      <w:r>
        <w:rPr>
          <w:rFonts w:hint="eastAsia" w:ascii="仿宋" w:hAnsi="仿宋" w:eastAsia="仿宋" w:cs="仿宋"/>
          <w:sz w:val="32"/>
          <w:szCs w:val="32"/>
        </w:rPr>
        <w:t>2、鼓励和引导社会资本投办养老机构。吸引整合各种社会力量，拓宽投资平台，鼓励单位和个人以独资、合资等方式兴办养老机构，加大对民办养老机构政策扶持，吸引民营资金投入养老服务业，以满足不同老年群体多元化的服务需求。</w:t>
      </w:r>
    </w:p>
    <w:p>
      <w:pPr>
        <w:ind w:firstLine="640" w:firstLineChars="200"/>
        <w:rPr>
          <w:rFonts w:ascii="仿宋" w:hAnsi="仿宋" w:eastAsia="仿宋" w:cs="仿宋"/>
          <w:sz w:val="32"/>
          <w:szCs w:val="32"/>
        </w:rPr>
      </w:pPr>
      <w:r>
        <w:rPr>
          <w:rFonts w:hint="eastAsia" w:ascii="仿宋" w:hAnsi="仿宋" w:eastAsia="仿宋" w:cs="仿宋"/>
          <w:sz w:val="32"/>
          <w:szCs w:val="32"/>
        </w:rPr>
        <w:t>3、推广“医养结合”的养老服务模式。通过医院举办养老院、养老院内设立医疗卫生机构、养老院与医院联办等多种形式，构建养老与医疗相互融合的服务模式。建立社区卫生服务机构与老年人家庭医疗契约服务关系，开展上门诊疗、健康查体、保健咨询、护理指导等服务。</w:t>
      </w:r>
    </w:p>
    <w:p>
      <w:pPr>
        <w:ind w:firstLine="640" w:firstLineChars="200"/>
        <w:rPr>
          <w:rFonts w:ascii="仿宋" w:hAnsi="仿宋" w:eastAsia="仿宋" w:cs="仿宋"/>
          <w:sz w:val="32"/>
          <w:szCs w:val="32"/>
        </w:rPr>
      </w:pPr>
      <w:r>
        <w:rPr>
          <w:rFonts w:hint="eastAsia" w:ascii="仿宋" w:hAnsi="仿宋" w:eastAsia="仿宋" w:cs="仿宋"/>
          <w:sz w:val="32"/>
          <w:szCs w:val="32"/>
        </w:rPr>
        <w:t>4、加大医养结合工作资金的投入。我县卫健委积极争取上级资金对医养结合机构的投入，2021年彩票公益金支持韩道口镇中心卫生院医养结合服务能力提升资金182万元，2022年彩票公益金分别支持夏邑东城医院和夏邑安康中医院医养结合服务能力提升资金237万元。下一步将继续争取上级资金对我县医养结合机构的投入。</w:t>
      </w:r>
    </w:p>
    <w:p>
      <w:pPr>
        <w:ind w:firstLine="640" w:firstLineChars="200"/>
        <w:rPr>
          <w:rFonts w:ascii="仿宋" w:hAnsi="仿宋" w:eastAsia="仿宋" w:cs="仿宋"/>
          <w:sz w:val="32"/>
          <w:szCs w:val="32"/>
        </w:rPr>
      </w:pPr>
      <w:r>
        <w:rPr>
          <w:rFonts w:hint="eastAsia" w:ascii="仿宋" w:hAnsi="仿宋" w:eastAsia="仿宋" w:cs="仿宋"/>
          <w:sz w:val="32"/>
          <w:szCs w:val="32"/>
        </w:rPr>
        <w:t>5、提高医养结合服务机构的服务质量。加强监管建立健全行业规范标准和管理制度，完善医养结合服务质量、服务资质、服务规范、服务设施以及卫生安全等标准，定期开展从业人员的职业技能培川，提高从业人员职业道德、服务意识和业务技能水平，逐步改善和提高服务人员的待遇，确保从业人员队伍的稳定。</w:t>
      </w:r>
    </w:p>
    <w:p>
      <w:pPr>
        <w:ind w:firstLine="640" w:firstLineChars="200"/>
        <w:rPr>
          <w:rFonts w:ascii="仿宋" w:hAnsi="仿宋" w:eastAsia="仿宋" w:cs="仿宋"/>
          <w:sz w:val="32"/>
          <w:szCs w:val="32"/>
        </w:rPr>
      </w:pPr>
      <w:r>
        <w:rPr>
          <w:rFonts w:ascii="仿宋" w:hAnsi="仿宋" w:eastAsia="仿宋" w:cs="仿宋"/>
          <w:sz w:val="32"/>
          <w:szCs w:val="32"/>
        </w:rPr>
        <w:t>再次感谢您对</w:t>
      </w:r>
      <w:r>
        <w:rPr>
          <w:rFonts w:hint="eastAsia" w:ascii="仿宋" w:hAnsi="仿宋" w:eastAsia="仿宋" w:cs="仿宋"/>
          <w:sz w:val="32"/>
          <w:szCs w:val="32"/>
        </w:rPr>
        <w:t>我县医养结合工作</w:t>
      </w:r>
      <w:r>
        <w:rPr>
          <w:rFonts w:ascii="仿宋" w:hAnsi="仿宋" w:eastAsia="仿宋" w:cs="仿宋"/>
          <w:sz w:val="32"/>
          <w:szCs w:val="32"/>
        </w:rPr>
        <w:t>的关心 。</w:t>
      </w:r>
    </w:p>
    <w:p>
      <w:pPr>
        <w:ind w:firstLine="5440" w:firstLineChars="1700"/>
        <w:rPr>
          <w:rFonts w:ascii="仿宋" w:hAnsi="仿宋" w:eastAsia="仿宋" w:cs="仿宋"/>
          <w:sz w:val="32"/>
          <w:szCs w:val="32"/>
        </w:rPr>
      </w:pPr>
    </w:p>
    <w:p>
      <w:pPr>
        <w:ind w:firstLine="5440" w:firstLineChars="1700"/>
        <w:rPr>
          <w:rFonts w:ascii="仿宋" w:hAnsi="仿宋" w:eastAsia="仿宋" w:cs="仿宋"/>
          <w:sz w:val="32"/>
          <w:szCs w:val="32"/>
        </w:rPr>
      </w:pPr>
    </w:p>
    <w:p>
      <w:pPr>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  202</w:t>
      </w:r>
      <w:r>
        <w:rPr>
          <w:rFonts w:hint="eastAsia" w:ascii="仿宋" w:hAnsi="仿宋" w:eastAsia="仿宋" w:cs="仿宋"/>
          <w:sz w:val="32"/>
          <w:szCs w:val="32"/>
        </w:rPr>
        <w:t>3</w:t>
      </w:r>
      <w:r>
        <w:rPr>
          <w:rFonts w:ascii="仿宋" w:hAnsi="仿宋" w:eastAsia="仿宋" w:cs="仿宋"/>
          <w:sz w:val="32"/>
          <w:szCs w:val="32"/>
        </w:rPr>
        <w:t>年</w:t>
      </w:r>
      <w:r>
        <w:rPr>
          <w:rFonts w:hint="eastAsia" w:ascii="仿宋" w:hAnsi="仿宋" w:eastAsia="仿宋" w:cs="仿宋"/>
          <w:sz w:val="32"/>
          <w:szCs w:val="32"/>
          <w:lang w:val="en-US" w:eastAsia="zh-CN"/>
        </w:rPr>
        <w:t>8</w:t>
      </w:r>
      <w:r>
        <w:rPr>
          <w:rFonts w:ascii="仿宋" w:hAnsi="仿宋" w:eastAsia="仿宋" w:cs="仿宋"/>
          <w:sz w:val="32"/>
          <w:szCs w:val="32"/>
        </w:rPr>
        <w:t>月</w:t>
      </w:r>
      <w:r>
        <w:rPr>
          <w:rFonts w:hint="eastAsia" w:ascii="仿宋" w:hAnsi="仿宋" w:eastAsia="仿宋" w:cs="仿宋"/>
          <w:sz w:val="32"/>
          <w:szCs w:val="32"/>
          <w:lang w:val="en-US" w:eastAsia="zh-CN"/>
        </w:rPr>
        <w:t>9</w:t>
      </w:r>
      <w:r>
        <w:rPr>
          <w:rFonts w:ascii="仿宋" w:hAnsi="仿宋" w:eastAsia="仿宋" w:cs="仿宋"/>
          <w:sz w:val="32"/>
          <w:szCs w:val="32"/>
        </w:rPr>
        <w:t>日</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bookmarkStart w:id="0" w:name="_GoBack"/>
      <w:bookmarkEnd w:id="0"/>
    </w:p>
    <w:p>
      <w:pPr>
        <w:rPr>
          <w:rFonts w:asciiTheme="minorHAnsi" w:hAnsiTheme="minorHAnsi" w:eastAsiaTheme="minorEastAsia" w:cstheme="minorBidi"/>
          <w:szCs w:val="24"/>
        </w:rPr>
      </w:pPr>
    </w:p>
    <w:p>
      <w:pPr>
        <w:spacing w:line="700" w:lineRule="exact"/>
        <w:rPr>
          <w:rFonts w:hint="eastAsia" w:ascii="仿宋" w:hAnsi="仿宋" w:eastAsia="仿宋" w:cs="仿宋"/>
          <w:sz w:val="32"/>
          <w:szCs w:val="32"/>
        </w:rPr>
      </w:pPr>
    </w:p>
    <w:p>
      <w:pPr>
        <w:spacing w:line="700" w:lineRule="exact"/>
        <w:rPr>
          <w:rFonts w:ascii="仿宋" w:hAnsi="仿宋" w:eastAsia="仿宋" w:cs="仿宋"/>
          <w:sz w:val="32"/>
          <w:szCs w:val="32"/>
        </w:rPr>
      </w:pPr>
      <w:r>
        <w:rPr>
          <w:rFonts w:hint="eastAsia" w:ascii="仿宋" w:hAnsi="仿宋" w:eastAsia="仿宋" w:cs="仿宋"/>
          <w:sz w:val="32"/>
          <w:szCs w:val="32"/>
        </w:rPr>
        <w:t>联系电话：3031159</w:t>
      </w:r>
    </w:p>
    <w:p>
      <w:pPr>
        <w:spacing w:line="700" w:lineRule="exact"/>
        <w:rPr>
          <w:rFonts w:ascii="仿宋" w:hAnsi="仿宋" w:eastAsia="仿宋" w:cs="仿宋"/>
          <w:sz w:val="32"/>
          <w:szCs w:val="32"/>
        </w:rPr>
      </w:pPr>
      <w:r>
        <w:rPr>
          <w:rFonts w:hint="eastAsia" w:ascii="仿宋" w:hAnsi="仿宋" w:eastAsia="仿宋" w:cs="仿宋"/>
          <w:sz w:val="32"/>
          <w:szCs w:val="32"/>
        </w:rPr>
        <w:t>联系人：范  君</w:t>
      </w:r>
    </w:p>
    <w:p>
      <w:pPr>
        <w:spacing w:line="700" w:lineRule="exact"/>
      </w:pPr>
      <w:r>
        <w:rPr>
          <w:rFonts w:hint="eastAsia" w:ascii="仿宋" w:hAnsi="仿宋" w:eastAsia="仿宋" w:cs="仿宋"/>
          <w:sz w:val="32"/>
          <w:szCs w:val="32"/>
        </w:rPr>
        <w:t>抄送：县人大代表联络科（2份），县政府督查室（2份）。</w:t>
      </w:r>
    </w:p>
    <w:p/>
    <w:p/>
    <w:sectPr>
      <w:pgSz w:w="11906" w:h="16838"/>
      <w:pgMar w:top="1531" w:right="1417" w:bottom="1417" w:left="1417" w:header="851" w:footer="124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485293D-7DE4-4B41-8A8B-23AC00D9B1A0}"/>
  </w:font>
  <w:font w:name="仿宋">
    <w:panose1 w:val="02010609060101010101"/>
    <w:charset w:val="86"/>
    <w:family w:val="modern"/>
    <w:pitch w:val="default"/>
    <w:sig w:usb0="800002BF" w:usb1="38CF7CFA" w:usb2="00000016" w:usb3="00000000" w:csb0="00040001" w:csb1="00000000"/>
    <w:embedRegular r:id="rId2" w:fontKey="{97E99149-34CE-42BD-9F34-EDCA9121D30C}"/>
  </w:font>
  <w:font w:name="方正小标宋_GBK">
    <w:panose1 w:val="02000000000000000000"/>
    <w:charset w:val="86"/>
    <w:family w:val="auto"/>
    <w:pitch w:val="default"/>
    <w:sig w:usb0="A00002BF" w:usb1="38CF7CFA" w:usb2="00082016" w:usb3="00000000" w:csb0="00040001" w:csb1="00000000"/>
    <w:embedRegular r:id="rId3" w:fontKey="{644CBB94-BB90-44A6-A9D6-61A1291E95A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iZjBiODc1YmU0MGRlYTJmNTI3MjhjOTMzYTVlYzAifQ=="/>
  </w:docVars>
  <w:rsids>
    <w:rsidRoot w:val="724C5D32"/>
    <w:rsid w:val="00097C4C"/>
    <w:rsid w:val="006D72E9"/>
    <w:rsid w:val="007E6D2A"/>
    <w:rsid w:val="00D867FE"/>
    <w:rsid w:val="00F14C74"/>
    <w:rsid w:val="00F375F2"/>
    <w:rsid w:val="19BF642F"/>
    <w:rsid w:val="1E0A0A79"/>
    <w:rsid w:val="44910F1A"/>
    <w:rsid w:val="466D2298"/>
    <w:rsid w:val="54306660"/>
    <w:rsid w:val="58184BBF"/>
    <w:rsid w:val="63A9438F"/>
    <w:rsid w:val="67401089"/>
    <w:rsid w:val="724C5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eastAsia="宋体" w:cs="Times New Roman"/>
      <w:kern w:val="2"/>
      <w:sz w:val="18"/>
      <w:szCs w:val="18"/>
    </w:rPr>
  </w:style>
  <w:style w:type="character" w:customStyle="1" w:styleId="7">
    <w:name w:val="页脚 Char"/>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190</Words>
  <Characters>1089</Characters>
  <Lines>9</Lines>
  <Paragraphs>2</Paragraphs>
  <TotalTime>17</TotalTime>
  <ScaleCrop>false</ScaleCrop>
  <LinksUpToDate>false</LinksUpToDate>
  <CharactersWithSpaces>1277</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2023-08-09T01:57:00Z</dcterms:created>
  <dc:creator>冰凉一下</dc:creator>
  <cp:lastModifiedBy>冰凉一下</cp:lastModifiedBy>
  <cp:lastPrinted>2023-08-21T02:12:18Z</cp:lastPrinted>
  <dcterms:modified xsi:type="dcterms:W3CDTF">2023-08-21T02:13:14Z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4ED76A5449364D0DB27081F7E72EA20E_13</vt:lpwstr>
  </property>
</Properties>
</file>