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夏卫〔2023〕60号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第64号建议的答复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尊敬的菅素侠委员：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您们提出的关于“关于解决人民群众看病难、看病贵”的提案收悉。现答复如下：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为有效缓解群众看病难、看病贵问题，我委也多次组织调查研究，分析“看病难、看病贵”的成因，探索缓解“看病难、看病贵”的有效途径。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持续推进完善“双向转诊”制度。从转诊手续、医保等方面引导群众有序就医。但在实际操作层面，由于群众就医的趋高心理未有明显改观，越级转诊报销比例差别不大，导致无法实现严格意义上的“小病在基层、疑难重症到大医院、康复回基层”的就医格局。下一步我们将协同医保等部门，进一步探索强化医保杠杆作用，推动医疗机构落实功能定位，优化双向转诊流程等方面工作，引导群众配合实施双向转诊，在保障群众看好病的基础上，降低群众就医经济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二是持续推进区域医疗中心建设，提升我</w:t>
      </w:r>
      <w:r>
        <w:rPr>
          <w:rFonts w:hint="eastAsia" w:ascii="仿宋" w:hAnsi="仿宋" w:eastAsia="仿宋" w:cs="仿宋"/>
          <w:sz w:val="32"/>
          <w:szCs w:val="32"/>
          <w:lang w:val="en-US" w:eastAsia="zh-CN"/>
        </w:rPr>
        <w:t>县</w:t>
      </w:r>
      <w:r>
        <w:rPr>
          <w:rFonts w:hint="default" w:ascii="仿宋" w:hAnsi="仿宋" w:eastAsia="仿宋" w:cs="仿宋"/>
          <w:sz w:val="32"/>
          <w:szCs w:val="32"/>
          <w:lang w:val="en-US" w:eastAsia="zh-CN"/>
        </w:rPr>
        <w:t>各级各类医疗机构诊疗服务能力，为医疗机构落实功能定位奠定基础，减少患者越级就医的情况。持续推进县域医疗中心建设，持续提升县级医院能力，再通过县域医共体建设，带动提升县域诊疗服务能力，争取实现群众在县域内解决看病就医问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持续开展惠民利民活动。继续实施国家基本药物制度。对全县25个乡镇卫生院、943个村卫生室实行全覆盖。今年截至目前，我县基本药物配送率达到96.31%，入库率达到99.23%。继续开展“健康商丘行大医献爱心”活动，服务弱势群体。目前，已抽调100余名专家，组成医疗队，对各乡镇开展巡回义诊，以实际行动服务群众，奉献社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持续推进人才队伍建设和科技创新工作。依托“369”人才工程，全面启动系统骨干培训工作，采取理论学习、病案讨论、调查实践研究和模拟演练的方式培训，提升服务能力和水平。卫生人才队伍迅速壮大，进一步提高了农村基层防病治病能力，逐步建立了一支能够满足农民基本医疗服务需求并具有较高专业素质的农村卫生人才队伍，使农村居民能够就近获得质优价廉的医疗卫生服务，为农村居民身体健康提供有力保障。同时，采取与省内外知名医院联姻的形式，建立合作关系，请进来一批国内知名专家到我县进行手术观摩、技术指导和业务培训，大大提高了我县医疗骨干人员的技术水平。如：县人民医院与河南省人员医院建设协作关系，常年选派省内科学代头人到我县进行手术观摩、技术指导和业务培训；县第二人民医院与北京301医院建立远程会诊中心，使广大患者不出县城就可以得到国内知名医院专家的会诊并给予最佳的治疗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加大政府投入力度，并积极支持社会办医，一方面减轻公立医疗机构生存压力，另一方面积极支持社会办医，在为群众提供多样化医疗服务的基础上，通过市场公平竞争，降低医疗服务价格，减轻群众就医经济负担。</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jc w:val="right"/>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r>
        <w:rPr>
          <w:rFonts w:hint="eastAsia" w:ascii="仿宋" w:hAnsi="仿宋" w:eastAsia="仿宋" w:cs="仿宋"/>
          <w:sz w:val="32"/>
          <w:szCs w:val="32"/>
          <w:lang w:val="en-US" w:eastAsia="zh-CN"/>
        </w:rPr>
        <w:t>抄送：县政协提案工作委员会（2份），县政府督查室（2份）。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36692CD-ED58-40C5-87F2-234E84034BAE}"/>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6898774D-7A7C-4A7F-9937-354048EF0422}"/>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3D886917-2F8D-4258-8630-31D830D18F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685F25DC"/>
    <w:rsid w:val="44910F1A"/>
    <w:rsid w:val="4C517258"/>
    <w:rsid w:val="685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2023-08-09T03:23:00Z</dcterms:created>
  <dc:creator>冰凉一下</dc:creator>
  <cp:lastModifiedBy>冰凉一下</cp:lastModifiedBy>
  <cp:lastPrinted>2023-08-18T03:02:29Z</cp:lastPrinted>
  <dcterms:modified xsi:type="dcterms:W3CDTF">2023-08-18T03:02:52Z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F0FA5A9EC92040008C8B26DE2B500522_13</vt:lpwstr>
  </property>
</Properties>
</file>