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eastAsia" w:ascii="文星黑体" w:hAnsi="文星黑体" w:eastAsia="文星黑体" w:cs="文星黑体"/>
          <w:szCs w:val="44"/>
        </w:rPr>
      </w:pPr>
      <w:bookmarkStart w:id="1" w:name="_GoBack"/>
      <w:bookmarkStart w:id="0" w:name="_Toc11865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"_bookmark2"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罗庄镇</w:t>
      </w:r>
      <w:r>
        <w:rPr>
          <w:rFonts w:hint="eastAsia"/>
        </w:rPr>
        <w:t>安全生产领域基层政务公开标准目录</w:t>
      </w:r>
      <w:r>
        <w:rPr>
          <w:rFonts w:hint="eastAsia"/>
        </w:rPr>
        <w:fldChar w:fldCharType="end"/>
      </w:r>
      <w:bookmarkEnd w:id="0"/>
    </w:p>
    <w:bookmarkEnd w:id="1"/>
    <w:tbl>
      <w:tblPr>
        <w:tblStyle w:val="4"/>
        <w:tblW w:w="144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4"/>
        <w:gridCol w:w="9"/>
        <w:gridCol w:w="455"/>
        <w:gridCol w:w="9"/>
        <w:gridCol w:w="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公开内容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●业务工作动态           ●安全生产执法检查动态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●气象及灾害预警信息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 xml:space="preserve">           ●不同时段、不同领域安全生产提示信息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●预算、决算                       ●“三公”经费                     ●安全生产专项资金使用等财政资金信息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《中华人民共和国政府信息公开条例》(国务院令第711号）、《国务院关于深化预算管理制度改革的决定》、《国务院办公厅关于进一步推进预算公开工作意见的通知》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《中华人民共和国政府信息公开条例》(国务院令第711号）,《国务院关于深化预算管理制度改革的决定》(国发〔2014〕45号),中办、国办印发《关于进一步推进预算公开工作的意见》的通知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00000000"/>
    <w:rsid w:val="015C48BA"/>
    <w:rsid w:val="08D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6">
    <w:name w:val="font71"/>
    <w:basedOn w:val="5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2023-12-26T10:02:52Z</dcterms:created>
  <dc:creator>Administrator</dc:creator>
  <cp:lastModifiedBy>时间都去哪儿了</cp:lastModifiedBy>
  <dcterms:modified xsi:type="dcterms:W3CDTF">2023-12-26T10:03:27Z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1929C6F478F249C08FF1F6567F53F788_12</vt:lpwstr>
  </property>
</Properties>
</file>