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夏邑县</w:t>
      </w:r>
      <w:r>
        <w:rPr>
          <w:rFonts w:hint="eastAsia" w:ascii="方正小标宋简体" w:hAnsi="方正小标宋简体" w:eastAsia="方正小标宋简体" w:cs="方正小标宋简体"/>
          <w:sz w:val="44"/>
          <w:szCs w:val="44"/>
        </w:rPr>
        <w:t>文化广电旅游领域基层政务公开标</w:t>
      </w:r>
      <w:bookmarkStart w:id="0" w:name="_GoBack"/>
      <w:bookmarkEnd w:id="0"/>
      <w:r>
        <w:rPr>
          <w:rFonts w:hint="eastAsia" w:ascii="方正小标宋简体" w:hAnsi="方正小标宋简体" w:eastAsia="方正小标宋简体" w:cs="方正小标宋简体"/>
          <w:sz w:val="44"/>
          <w:szCs w:val="44"/>
        </w:rPr>
        <w:t>准目录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行政许可</w:t>
      </w:r>
      <w:r>
        <w:rPr>
          <w:rFonts w:hint="eastAsia" w:ascii="方正小标宋简体" w:hAnsi="方正小标宋简体" w:eastAsia="方正小标宋简体" w:cs="方正小标宋简体"/>
          <w:sz w:val="44"/>
          <w:szCs w:val="44"/>
          <w:lang w:eastAsia="zh-CN"/>
        </w:rPr>
        <w:t>）</w:t>
      </w:r>
    </w:p>
    <w:tbl>
      <w:tblPr>
        <w:tblStyle w:val="3"/>
        <w:tblpPr w:leftFromText="180" w:rightFromText="180" w:vertAnchor="text" w:horzAnchor="page" w:tblpX="513" w:tblpY="1385"/>
        <w:tblOverlap w:val="never"/>
        <w:tblW w:w="16201"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721"/>
        <w:gridCol w:w="1633"/>
        <w:gridCol w:w="2025"/>
        <w:gridCol w:w="2250"/>
        <w:gridCol w:w="1185"/>
        <w:gridCol w:w="1785"/>
        <w:gridCol w:w="3000"/>
        <w:gridCol w:w="510"/>
        <w:gridCol w:w="585"/>
        <w:gridCol w:w="495"/>
        <w:gridCol w:w="600"/>
        <w:gridCol w:w="435"/>
        <w:gridCol w:w="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blCellSpacing w:w="0" w:type="dxa"/>
        </w:trPr>
        <w:tc>
          <w:tcPr>
            <w:tcW w:w="586"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lang w:eastAsia="zh-CN"/>
              </w:rPr>
            </w:pPr>
            <w:r>
              <w:rPr>
                <w:rFonts w:hint="eastAsia" w:ascii="宋体" w:hAnsi="宋体" w:eastAsia="宋体" w:cs="宋体"/>
                <w:color w:val="000000"/>
                <w:spacing w:val="0"/>
                <w:kern w:val="0"/>
                <w:position w:val="0"/>
                <w:sz w:val="21"/>
                <w:szCs w:val="21"/>
                <w:lang w:eastAsia="zh-CN"/>
              </w:rPr>
              <w:t>序号</w:t>
            </w:r>
          </w:p>
        </w:tc>
        <w:tc>
          <w:tcPr>
            <w:tcW w:w="2354"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21"/>
                <w:szCs w:val="21"/>
              </w:rPr>
            </w:pPr>
            <w:r>
              <w:rPr>
                <w:rFonts w:hint="eastAsia" w:ascii="宋体" w:hAnsi="宋体" w:eastAsia="宋体" w:cs="宋体"/>
                <w:color w:val="000000"/>
                <w:spacing w:val="0"/>
                <w:position w:val="0"/>
                <w:sz w:val="21"/>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-1044575</wp:posOffset>
                      </wp:positionV>
                      <wp:extent cx="1174750" cy="404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74750" cy="404495"/>
                              </a:xfrm>
                              <a:prstGeom prst="rect">
                                <a:avLst/>
                              </a:prstGeom>
                              <a:noFill/>
                              <a:ln>
                                <a:noFill/>
                              </a:ln>
                            </wps:spPr>
                            <wps:txbx>
                              <w:txbxContent>
                                <w:p>
                                  <w:pPr>
                                    <w:rPr>
                                      <w:rFonts w:hint="eastAsia" w:ascii="黑体" w:hAnsi="黑体" w:eastAsia="黑体" w:cs="黑体"/>
                                      <w:sz w:val="32"/>
                                      <w:szCs w:val="32"/>
                                      <w:lang w:eastAsia="zh-CN"/>
                                    </w:rPr>
                                  </w:pPr>
                                </w:p>
                              </w:txbxContent>
                            </wps:txbx>
                            <wps:bodyPr upright="1"/>
                          </wps:wsp>
                        </a:graphicData>
                      </a:graphic>
                    </wp:anchor>
                  </w:drawing>
                </mc:Choice>
                <mc:Fallback>
                  <w:pict>
                    <v:shape id="_x0000_s1026" o:spid="_x0000_s1026" o:spt="202" type="#_x0000_t202" style="position:absolute;left:0pt;margin-left:25.85pt;margin-top:-82.25pt;height:31.85pt;width:92.5pt;z-index:251659264;mso-width-relative:page;mso-height-relative:page;" filled="f" stroked="f" coordsize="21600,21600" o:gfxdata="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22BC9kA&#10;AAAMAQAADwAAAAAAAAABACAAAAAiAAAAZHJzL2Rvd25yZXYueG1sUEsBAhQAFAAAAAgAh07iQIWI&#10;aSqsAQAATgMAAA4AAAAAAAAAAQAgAAAAKAEAAGRycy9lMm9Eb2MueG1sUEsFBgAAAAAGAAYAWQEA&#10;AEYFAAAAAA==&#10;">
                      <v:fill on="f" focussize="0,0"/>
                      <v:stroke on="f"/>
                      <v:imagedata o:title=""/>
                      <o:lock v:ext="edit" aspectratio="f"/>
                      <v:textbox>
                        <w:txbxContent>
                          <w:p>
                            <w:pPr>
                              <w:rPr>
                                <w:rFonts w:hint="eastAsia" w:ascii="黑体" w:hAnsi="黑体" w:eastAsia="黑体" w:cs="黑体"/>
                                <w:sz w:val="32"/>
                                <w:szCs w:val="32"/>
                                <w:lang w:eastAsia="zh-CN"/>
                              </w:rPr>
                            </w:pPr>
                          </w:p>
                        </w:txbxContent>
                      </v:textbox>
                    </v:shape>
                  </w:pict>
                </mc:Fallback>
              </mc:AlternateConten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公开事项</w:t>
            </w:r>
          </w:p>
        </w:tc>
        <w:tc>
          <w:tcPr>
            <w:tcW w:w="202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公开内容（要素）</w:t>
            </w:r>
          </w:p>
        </w:tc>
        <w:tc>
          <w:tcPr>
            <w:tcW w:w="2250"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公开依据</w:t>
            </w:r>
          </w:p>
        </w:tc>
        <w:tc>
          <w:tcPr>
            <w:tcW w:w="118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时限</w:t>
            </w:r>
          </w:p>
        </w:tc>
        <w:tc>
          <w:tcPr>
            <w:tcW w:w="1785"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主体</w:t>
            </w:r>
          </w:p>
        </w:tc>
        <w:tc>
          <w:tcPr>
            <w:tcW w:w="3000"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公开渠道和载体</w:t>
            </w:r>
          </w:p>
        </w:tc>
        <w:tc>
          <w:tcPr>
            <w:tcW w:w="1095"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公开对象</w:t>
            </w:r>
          </w:p>
        </w:tc>
        <w:tc>
          <w:tcPr>
            <w:tcW w:w="1095"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公开方式</w:t>
            </w:r>
          </w:p>
        </w:tc>
        <w:tc>
          <w:tcPr>
            <w:tcW w:w="826" w:type="dxa"/>
            <w:gridSpan w:val="2"/>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blCellSpacing w:w="0" w:type="dxa"/>
        </w:trPr>
        <w:tc>
          <w:tcPr>
            <w:tcW w:w="586"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72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一级</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事项</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二级</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事项</w:t>
            </w:r>
          </w:p>
        </w:tc>
        <w:tc>
          <w:tcPr>
            <w:tcW w:w="202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2250"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118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1785"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p>
        </w:tc>
        <w:tc>
          <w:tcPr>
            <w:tcW w:w="3000"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21"/>
                <w:szCs w:val="21"/>
              </w:rPr>
            </w:pP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全社会</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特定</w:t>
            </w:r>
            <w:r>
              <w:rPr>
                <w:rFonts w:hint="eastAsia" w:ascii="宋体" w:hAnsi="宋体" w:eastAsia="宋体" w:cs="宋体"/>
                <w:color w:val="000000"/>
                <w:spacing w:val="0"/>
                <w:kern w:val="0"/>
                <w:position w:val="0"/>
                <w:sz w:val="21"/>
                <w:szCs w:val="21"/>
              </w:rPr>
              <w:br w:type="textWrapping"/>
            </w:r>
            <w:r>
              <w:rPr>
                <w:rFonts w:hint="eastAsia" w:ascii="宋体" w:hAnsi="宋体" w:eastAsia="宋体" w:cs="宋体"/>
                <w:color w:val="000000"/>
                <w:spacing w:val="0"/>
                <w:kern w:val="0"/>
                <w:position w:val="0"/>
                <w:sz w:val="21"/>
                <w:szCs w:val="21"/>
              </w:rPr>
              <w:t>群体</w:t>
            </w: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主动</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依申请</w:t>
            </w: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县级</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21"/>
                <w:szCs w:val="21"/>
              </w:rPr>
            </w:pPr>
            <w:r>
              <w:rPr>
                <w:rFonts w:hint="eastAsia" w:ascii="宋体" w:hAnsi="宋体" w:eastAsia="宋体" w:cs="宋体"/>
                <w:color w:val="000000"/>
                <w:spacing w:val="0"/>
                <w:kern w:val="0"/>
                <w:position w:val="0"/>
                <w:sz w:val="21"/>
                <w:szCs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互联网</w:t>
            </w:r>
            <w:r>
              <w:rPr>
                <w:rFonts w:hint="eastAsia" w:ascii="宋体" w:hAnsi="宋体" w:eastAsia="宋体" w:cs="宋体"/>
                <w:color w:val="000000"/>
                <w:spacing w:val="0"/>
                <w:position w:val="0"/>
                <w:sz w:val="18"/>
                <w:szCs w:val="18"/>
                <w:lang w:val="en-US" w:eastAsia="zh-CN"/>
              </w:rPr>
              <w:t>上</w:t>
            </w:r>
            <w:r>
              <w:rPr>
                <w:rFonts w:hint="eastAsia" w:ascii="宋体" w:hAnsi="宋体" w:eastAsia="宋体" w:cs="宋体"/>
                <w:color w:val="000000"/>
                <w:spacing w:val="0"/>
                <w:position w:val="0"/>
                <w:sz w:val="18"/>
                <w:szCs w:val="18"/>
              </w:rPr>
              <w:t>网服务营业场所经营许可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设定依据</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申请条件、办理材料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lang w:val="en-US" w:eastAsia="zh-CN"/>
              </w:rPr>
              <w:t>申</w:t>
            </w:r>
            <w:r>
              <w:rPr>
                <w:rFonts w:hint="eastAsia" w:ascii="宋体" w:hAnsi="宋体" w:eastAsia="宋体" w:cs="宋体"/>
                <w:color w:val="000000"/>
                <w:spacing w:val="0"/>
                <w:position w:val="0"/>
                <w:sz w:val="18"/>
                <w:szCs w:val="18"/>
              </w:rPr>
              <w:t>请行政许可需要提交的全部材料</w:t>
            </w:r>
            <w:r>
              <w:rPr>
                <w:rFonts w:hint="eastAsia" w:ascii="宋体" w:hAnsi="宋体" w:eastAsia="宋体" w:cs="宋体"/>
                <w:color w:val="000000"/>
                <w:spacing w:val="0"/>
                <w:position w:val="0"/>
                <w:sz w:val="18"/>
                <w:szCs w:val="18"/>
                <w:lang w:val="en-US" w:eastAsia="zh-CN"/>
              </w:rPr>
              <w:t>目</w:t>
            </w:r>
            <w:r>
              <w:rPr>
                <w:rFonts w:hint="eastAsia" w:ascii="宋体" w:hAnsi="宋体" w:eastAsia="宋体" w:cs="宋体"/>
                <w:color w:val="000000"/>
                <w:spacing w:val="0"/>
                <w:position w:val="0"/>
                <w:sz w:val="18"/>
                <w:szCs w:val="18"/>
              </w:rPr>
              <w:t>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《互联网上网服务营业场所管理条例》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 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2</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文艺表演团体设立审批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1.办事指南：主要包括事项名称、设定依据、申请条件、办理材料、办理地点、办理时间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.《营业性演出管理条例》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4.《文化部关于落实“先照后证”改进文化市场行政审批工作的通知》</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信</w:t>
            </w:r>
            <w:r>
              <w:rPr>
                <w:rFonts w:hint="eastAsia" w:ascii="宋体" w:hAnsi="宋体" w:eastAsia="宋体" w:cs="宋体"/>
                <w:color w:val="000000"/>
                <w:spacing w:val="0"/>
                <w:position w:val="0"/>
                <w:sz w:val="18"/>
                <w:szCs w:val="18"/>
              </w:rPr>
              <w:t>息形成或 变</w:t>
            </w:r>
            <w:r>
              <w:rPr>
                <w:rFonts w:hint="eastAsia" w:ascii="宋体" w:hAnsi="宋体" w:eastAsia="宋体" w:cs="宋体"/>
                <w:color w:val="000000"/>
                <w:spacing w:val="0"/>
                <w:position w:val="0"/>
                <w:sz w:val="18"/>
                <w:szCs w:val="18"/>
                <w:lang w:val="en-US" w:eastAsia="zh-CN"/>
              </w:rPr>
              <w:t>更</w:t>
            </w:r>
            <w:r>
              <w:rPr>
                <w:rFonts w:hint="eastAsia" w:ascii="宋体" w:hAnsi="宋体" w:eastAsia="宋体" w:cs="宋体"/>
                <w:color w:val="000000"/>
                <w:spacing w:val="0"/>
                <w:position w:val="0"/>
                <w:sz w:val="18"/>
                <w:szCs w:val="18"/>
              </w:rPr>
              <w:t xml:space="preserve">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3</w:t>
            </w:r>
          </w:p>
        </w:tc>
        <w:tc>
          <w:tcPr>
            <w:tcW w:w="721" w:type="dxa"/>
            <w:vMerge w:val="restart"/>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行政</w:t>
            </w:r>
            <w:r>
              <w:rPr>
                <w:rFonts w:hint="eastAsia" w:ascii="宋体" w:hAnsi="宋体" w:eastAsia="宋体" w:cs="宋体"/>
                <w:color w:val="000000"/>
                <w:spacing w:val="0"/>
                <w:position w:val="0"/>
                <w:sz w:val="18"/>
                <w:szCs w:val="18"/>
              </w:rPr>
              <w:br w:type="textWrapping"/>
            </w:r>
            <w:r>
              <w:rPr>
                <w:rFonts w:hint="eastAsia" w:ascii="宋体" w:hAnsi="宋体" w:eastAsia="宋体" w:cs="宋体"/>
                <w:color w:val="000000"/>
                <w:spacing w:val="0"/>
                <w:position w:val="0"/>
                <w:sz w:val="18"/>
                <w:szCs w:val="18"/>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营业性演出审批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1.办事指南：主要包括事项名称、设定依据、申请条件、办理材料</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办理地点、办理时间、联系电话、办理流</w:t>
            </w:r>
            <w:r>
              <w:rPr>
                <w:rFonts w:hint="eastAsia" w:ascii="宋体" w:hAnsi="宋体" w:eastAsia="宋体" w:cs="宋体"/>
                <w:color w:val="000000"/>
                <w:spacing w:val="0"/>
                <w:position w:val="0"/>
                <w:sz w:val="18"/>
                <w:szCs w:val="18"/>
                <w:lang w:val="en-US" w:eastAsia="zh-CN"/>
              </w:rPr>
              <w:t>程、</w:t>
            </w:r>
            <w:r>
              <w:rPr>
                <w:rFonts w:hint="eastAsia" w:ascii="宋体" w:hAnsi="宋体" w:eastAsia="宋体" w:cs="宋体"/>
                <w:color w:val="000000"/>
                <w:spacing w:val="0"/>
                <w:position w:val="0"/>
                <w:sz w:val="18"/>
                <w:szCs w:val="18"/>
              </w:rPr>
              <w:t>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.《营业性演出管理条例》</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4.《文化部关于落实“先照后证”改进文化市场行政审批工作的通知》</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文市函〔2015〕 527号</w:t>
            </w:r>
            <w:r>
              <w:rPr>
                <w:rFonts w:hint="eastAsia" w:ascii="宋体" w:hAnsi="宋体" w:eastAsia="宋体" w:cs="宋体"/>
                <w:color w:val="000000"/>
                <w:spacing w:val="0"/>
                <w:position w:val="0"/>
                <w:sz w:val="18"/>
                <w:szCs w:val="18"/>
                <w:lang w:eastAsia="zh-CN"/>
              </w:rPr>
              <w:t>）</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娱乐场所经营许可</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设定依据</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申请条件、办理材料、办理地点、办理时间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.《中华人民共和国政府信息公开条例》</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3.《娱乐场所管理条例》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变更之日起</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县级文物保护单位保护范围内其他 建设工程或者爆破、钻 探、挖掘等作业审批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rightChars="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信息形成或 变更之</w:t>
            </w:r>
            <w:r>
              <w:rPr>
                <w:rFonts w:hint="eastAsia" w:ascii="宋体" w:hAnsi="宋体" w:eastAsia="宋体" w:cs="宋体"/>
                <w:color w:val="000000"/>
                <w:spacing w:val="0"/>
                <w:position w:val="0"/>
                <w:sz w:val="18"/>
                <w:szCs w:val="18"/>
                <w:lang w:val="en-US" w:eastAsia="zh-CN"/>
              </w:rPr>
              <w:t>日</w:t>
            </w:r>
            <w:r>
              <w:rPr>
                <w:rFonts w:hint="eastAsia" w:ascii="宋体" w:hAnsi="宋体" w:eastAsia="宋体" w:cs="宋体"/>
                <w:color w:val="000000"/>
                <w:spacing w:val="0"/>
                <w:position w:val="0"/>
                <w:sz w:val="18"/>
                <w:szCs w:val="18"/>
              </w:rPr>
              <w:t xml:space="preserve">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6</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县级文物保护单位建设控制地带内建设工程设 计方案审批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rPr>
              <w:t>1.办事指南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办理时间、联系电话、办理流程、办理期限、申请行政许可需要提交的全部材料目录及办理情况</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信息</w:t>
            </w:r>
            <w:r>
              <w:rPr>
                <w:rFonts w:hint="eastAsia" w:ascii="宋体" w:hAnsi="宋体" w:eastAsia="宋体" w:cs="宋体"/>
                <w:color w:val="000000"/>
                <w:spacing w:val="0"/>
                <w:position w:val="0"/>
                <w:sz w:val="18"/>
                <w:szCs w:val="18"/>
              </w:rPr>
              <w:t xml:space="preserve">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7</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行政</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许可</w:t>
            </w: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县级文物保护单位实施原址保护措施审批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主要包括事项名称、设定依据、申请条件、办理材料、办理地点</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办理时间</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联系电话、办理流程、办理期限、申请行政许可需要提交的全部材料目录及办理情况；</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8</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县级文物保护单位和未核定为文物保护单位的 不可移动文物修缮审批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办事指南：主要包括事项名称、设定依据、申请条件、办理材料、办理地点、办理</w:t>
            </w:r>
            <w:r>
              <w:rPr>
                <w:rFonts w:hint="eastAsia" w:ascii="宋体" w:hAnsi="宋体" w:eastAsia="宋体" w:cs="宋体"/>
                <w:color w:val="000000"/>
                <w:spacing w:val="0"/>
                <w:position w:val="0"/>
                <w:sz w:val="18"/>
                <w:szCs w:val="18"/>
                <w:lang w:val="en-US" w:eastAsia="zh-CN"/>
              </w:rPr>
              <w:t>时间</w:t>
            </w:r>
            <w:r>
              <w:rPr>
                <w:rFonts w:hint="eastAsia" w:ascii="宋体" w:hAnsi="宋体" w:eastAsia="宋体" w:cs="宋体"/>
                <w:color w:val="000000"/>
                <w:spacing w:val="0"/>
                <w:position w:val="0"/>
                <w:sz w:val="18"/>
                <w:szCs w:val="18"/>
              </w:rPr>
              <w:t>、联系电话、办理流程</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r>
              <w:rPr>
                <w:rFonts w:hint="eastAsia" w:ascii="宋体" w:hAnsi="宋体" w:eastAsia="宋体" w:cs="宋体"/>
                <w:color w:val="000000"/>
                <w:spacing w:val="0"/>
                <w:position w:val="0"/>
                <w:sz w:val="18"/>
                <w:szCs w:val="18"/>
                <w:lang w:eastAsia="zh-CN"/>
              </w:rPr>
              <w:t>。</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9</w:t>
            </w:r>
          </w:p>
        </w:tc>
        <w:tc>
          <w:tcPr>
            <w:tcW w:w="721" w:type="dxa"/>
            <w:vMerge w:val="continue"/>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核</w:t>
            </w:r>
            <w:r>
              <w:rPr>
                <w:rFonts w:hint="eastAsia" w:ascii="宋体" w:hAnsi="宋体" w:eastAsia="宋体" w:cs="宋体"/>
                <w:color w:val="000000"/>
                <w:spacing w:val="0"/>
                <w:position w:val="0"/>
                <w:sz w:val="18"/>
                <w:szCs w:val="18"/>
              </w:rPr>
              <w:t>定为县级文物保护单位的属于国家所有的纪念建筑物或者古建筑改变用途审批</w:t>
            </w:r>
          </w:p>
        </w:tc>
        <w:tc>
          <w:tcPr>
            <w:tcW w:w="202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1.办事指南</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主要包括事项名称、设定依据、</w:t>
            </w:r>
            <w:r>
              <w:rPr>
                <w:rFonts w:hint="eastAsia" w:ascii="宋体" w:hAnsi="宋体" w:eastAsia="宋体" w:cs="宋体"/>
                <w:color w:val="000000"/>
                <w:spacing w:val="0"/>
                <w:position w:val="0"/>
                <w:sz w:val="18"/>
                <w:szCs w:val="18"/>
                <w:lang w:val="en-US" w:eastAsia="zh-CN"/>
              </w:rPr>
              <w:t>申请</w:t>
            </w:r>
            <w:r>
              <w:rPr>
                <w:rFonts w:hint="eastAsia" w:ascii="宋体" w:hAnsi="宋体" w:eastAsia="宋体" w:cs="宋体"/>
                <w:color w:val="000000"/>
                <w:spacing w:val="0"/>
                <w:position w:val="0"/>
                <w:sz w:val="18"/>
                <w:szCs w:val="18"/>
              </w:rPr>
              <w:t>条件、办理材料、办理地点，办理时间、联系电话、办理流程、办理期限、申请行政许可需要提交的全部材料目录及办理情况；</w:t>
            </w:r>
          </w:p>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10</w:t>
            </w:r>
          </w:p>
        </w:tc>
        <w:tc>
          <w:tcPr>
            <w:tcW w:w="721" w:type="dxa"/>
            <w:vMerge w:val="continue"/>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非国有文物收</w:t>
            </w:r>
            <w:r>
              <w:rPr>
                <w:rFonts w:hint="eastAsia" w:ascii="宋体" w:hAnsi="宋体" w:eastAsia="宋体" w:cs="宋体"/>
                <w:color w:val="000000"/>
                <w:spacing w:val="0"/>
                <w:position w:val="0"/>
                <w:sz w:val="18"/>
                <w:szCs w:val="18"/>
                <w:lang w:val="en-US" w:eastAsia="zh-CN"/>
              </w:rPr>
              <w:t>藏</w:t>
            </w:r>
            <w:r>
              <w:rPr>
                <w:rFonts w:hint="eastAsia" w:ascii="宋体" w:hAnsi="宋体" w:eastAsia="宋体" w:cs="宋体"/>
                <w:color w:val="000000"/>
                <w:spacing w:val="0"/>
                <w:position w:val="0"/>
                <w:sz w:val="18"/>
                <w:szCs w:val="18"/>
              </w:rPr>
              <w:t>单位和其他单位举办展览需借用国有馆藏二级以下文物审批</w:t>
            </w:r>
          </w:p>
        </w:tc>
        <w:tc>
          <w:tcPr>
            <w:tcW w:w="2025"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办事指南：主要包括事项名称、设定依据、申请条件、办理材料、办理地点、办理时间、联系电话、办理流程、办理期限</w:t>
            </w:r>
            <w:r>
              <w:rPr>
                <w:rFonts w:hint="eastAsia" w:ascii="宋体" w:hAnsi="宋体" w:eastAsia="宋体" w:cs="宋体"/>
                <w:color w:val="000000"/>
                <w:spacing w:val="0"/>
                <w:position w:val="0"/>
                <w:sz w:val="18"/>
                <w:szCs w:val="18"/>
                <w:lang w:eastAsia="zh-CN"/>
              </w:rPr>
              <w:t>、</w:t>
            </w:r>
            <w:r>
              <w:rPr>
                <w:rFonts w:hint="eastAsia" w:ascii="宋体" w:hAnsi="宋体" w:eastAsia="宋体" w:cs="宋体"/>
                <w:color w:val="000000"/>
                <w:spacing w:val="0"/>
                <w:position w:val="0"/>
                <w:sz w:val="18"/>
                <w:szCs w:val="18"/>
              </w:rPr>
              <w:t>申请行政许可需要提交的全部材料目录及办理情况；</w:t>
            </w:r>
          </w:p>
          <w:p>
            <w:pPr>
              <w:keepNext w:val="0"/>
              <w:keepLines w:val="0"/>
              <w:pageBreakBefore w:val="0"/>
              <w:numPr>
                <w:ilvl w:val="0"/>
                <w:numId w:val="0"/>
              </w:numPr>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1.</w:t>
            </w:r>
            <w:r>
              <w:rPr>
                <w:rFonts w:hint="eastAsia" w:ascii="宋体" w:hAnsi="宋体" w:eastAsia="宋体" w:cs="宋体"/>
                <w:color w:val="000000"/>
                <w:spacing w:val="0"/>
                <w:position w:val="0"/>
                <w:sz w:val="18"/>
                <w:szCs w:val="18"/>
              </w:rPr>
              <w:t>《中华人民共和国行政许可法》</w:t>
            </w:r>
            <w:r>
              <w:rPr>
                <w:rFonts w:hint="eastAsia" w:ascii="宋体" w:hAnsi="宋体" w:eastAsia="宋体" w:cs="宋体"/>
                <w:color w:val="000000"/>
                <w:spacing w:val="0"/>
                <w:position w:val="0"/>
                <w:sz w:val="18"/>
                <w:szCs w:val="18"/>
                <w:lang w:eastAsia="zh-CN"/>
              </w:rPr>
              <w:t>；</w:t>
            </w:r>
          </w:p>
          <w:p>
            <w:pPr>
              <w:keepNext w:val="0"/>
              <w:keepLines w:val="0"/>
              <w:pageBreakBefore w:val="0"/>
              <w:numPr>
                <w:ilvl w:val="0"/>
                <w:numId w:val="0"/>
              </w:numPr>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eastAsia="zh-CN"/>
              </w:rPr>
            </w:pPr>
            <w:r>
              <w:rPr>
                <w:rFonts w:hint="eastAsia" w:ascii="宋体" w:hAnsi="宋体" w:eastAsia="宋体" w:cs="宋体"/>
                <w:color w:val="000000"/>
                <w:spacing w:val="0"/>
                <w:position w:val="0"/>
                <w:sz w:val="18"/>
                <w:szCs w:val="18"/>
                <w:lang w:val="en-US" w:eastAsia="zh-CN"/>
              </w:rPr>
              <w:t>2.</w:t>
            </w:r>
            <w:r>
              <w:rPr>
                <w:rFonts w:hint="eastAsia" w:ascii="宋体" w:hAnsi="宋体" w:eastAsia="宋体" w:cs="宋体"/>
                <w:color w:val="000000"/>
                <w:spacing w:val="0"/>
                <w:position w:val="0"/>
                <w:sz w:val="18"/>
                <w:szCs w:val="18"/>
              </w:rPr>
              <w:t>《中华人民共和国</w:t>
            </w:r>
            <w:r>
              <w:rPr>
                <w:rFonts w:hint="eastAsia" w:ascii="宋体" w:hAnsi="宋体" w:eastAsia="宋体" w:cs="宋体"/>
                <w:color w:val="000000"/>
                <w:spacing w:val="0"/>
                <w:position w:val="0"/>
                <w:sz w:val="18"/>
                <w:szCs w:val="18"/>
                <w:lang w:val="en-US" w:eastAsia="zh-CN"/>
              </w:rPr>
              <w:t>文物保护</w:t>
            </w:r>
            <w:r>
              <w:rPr>
                <w:rFonts w:hint="eastAsia" w:ascii="宋体" w:hAnsi="宋体" w:eastAsia="宋体" w:cs="宋体"/>
                <w:color w:val="000000"/>
                <w:spacing w:val="0"/>
                <w:position w:val="0"/>
                <w:sz w:val="18"/>
                <w:szCs w:val="18"/>
              </w:rPr>
              <w:t>法》</w:t>
            </w:r>
            <w:r>
              <w:rPr>
                <w:rFonts w:hint="eastAsia" w:ascii="宋体" w:hAnsi="宋体" w:eastAsia="宋体" w:cs="宋体"/>
                <w:color w:val="000000"/>
                <w:spacing w:val="0"/>
                <w:position w:val="0"/>
                <w:sz w:val="18"/>
                <w:szCs w:val="18"/>
                <w:lang w:eastAsia="zh-CN"/>
              </w:rPr>
              <w:t>；</w:t>
            </w:r>
          </w:p>
          <w:p>
            <w:pPr>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rPr>
              <w:t>3.</w:t>
            </w:r>
            <w:r>
              <w:rPr>
                <w:rFonts w:hint="eastAsia" w:ascii="宋体" w:hAnsi="宋体" w:eastAsia="宋体" w:cs="宋体"/>
                <w:color w:val="000000"/>
                <w:spacing w:val="0"/>
                <w:position w:val="0"/>
                <w:sz w:val="18"/>
                <w:szCs w:val="18"/>
              </w:rPr>
              <w:t>《中华人民共和国政府信息公开条例》</w:t>
            </w:r>
          </w:p>
        </w:tc>
        <w:tc>
          <w:tcPr>
            <w:tcW w:w="11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 xml:space="preserve">信息形成或 变更之日起 </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 内公开</w:t>
            </w:r>
          </w:p>
        </w:tc>
        <w:tc>
          <w:tcPr>
            <w:tcW w:w="1785"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县级（市辖区、县级市）文化和旅游行政部门</w:t>
            </w:r>
          </w:p>
        </w:tc>
        <w:tc>
          <w:tcPr>
            <w:tcW w:w="3000" w:type="dxa"/>
            <w:tcBorders>
              <w:tl2br w:val="nil"/>
              <w:tr2bl w:val="nil"/>
            </w:tcBorders>
            <w:noWrap w:val="0"/>
            <w:tcMar>
              <w:left w:w="105" w:type="dxa"/>
              <w:right w:w="105" w:type="dxa"/>
            </w:tcMar>
            <w:vAlign w:val="center"/>
          </w:tcPr>
          <w:p>
            <w:pPr>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kern w:val="0"/>
                <w:position w:val="0"/>
                <w:sz w:val="18"/>
                <w:szCs w:val="18"/>
              </w:rPr>
              <w:t xml:space="preserve">■政府网站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□政府公报</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□两微一端</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□发布会/听证会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□广播电视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lang w:eastAsia="zh-CN"/>
              </w:rPr>
              <w:t>□</w:t>
            </w:r>
            <w:r>
              <w:rPr>
                <w:rFonts w:hint="eastAsia" w:ascii="宋体" w:hAnsi="宋体" w:eastAsia="宋体" w:cs="宋体"/>
                <w:color w:val="000000"/>
                <w:spacing w:val="0"/>
                <w:kern w:val="0"/>
                <w:position w:val="0"/>
                <w:sz w:val="18"/>
                <w:szCs w:val="18"/>
              </w:rPr>
              <w:t>纸质媒体</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■公开查阅点</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■政务服务中心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□便民服务站</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□入户/现场  </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□社区/企事业单位/村公示栏（电子屏）</w:t>
            </w:r>
            <w:r>
              <w:rPr>
                <w:rFonts w:hint="eastAsia" w:ascii="宋体" w:hAnsi="宋体" w:eastAsia="宋体" w:cs="宋体"/>
                <w:color w:val="000000"/>
                <w:spacing w:val="0"/>
                <w:kern w:val="0"/>
                <w:position w:val="0"/>
                <w:sz w:val="18"/>
                <w:szCs w:val="18"/>
              </w:rPr>
              <w:br w:type="textWrapping"/>
            </w:r>
            <w:r>
              <w:rPr>
                <w:rFonts w:hint="eastAsia" w:ascii="宋体" w:hAnsi="宋体" w:eastAsia="宋体" w:cs="宋体"/>
                <w:color w:val="000000"/>
                <w:spacing w:val="0"/>
                <w:kern w:val="0"/>
                <w:position w:val="0"/>
                <w:sz w:val="18"/>
                <w:szCs w:val="18"/>
              </w:rPr>
              <w:t xml:space="preserve">□精准推送 </w:t>
            </w:r>
            <w:r>
              <w:rPr>
                <w:rFonts w:hint="eastAsia" w:ascii="宋体" w:hAnsi="宋体" w:eastAsia="宋体" w:cs="宋体"/>
                <w:color w:val="000000"/>
                <w:spacing w:val="0"/>
                <w:kern w:val="0"/>
                <w:position w:val="0"/>
                <w:sz w:val="18"/>
                <w:szCs w:val="18"/>
                <w:lang w:val="en-US" w:eastAsia="zh-CN"/>
              </w:rPr>
              <w:t xml:space="preserve">  </w:t>
            </w:r>
            <w:r>
              <w:rPr>
                <w:rFonts w:hint="eastAsia" w:ascii="宋体" w:hAnsi="宋体" w:eastAsia="宋体" w:cs="宋体"/>
                <w:color w:val="000000"/>
                <w:spacing w:val="0"/>
                <w:kern w:val="0"/>
                <w:position w:val="0"/>
                <w:sz w:val="18"/>
                <w:szCs w:val="18"/>
              </w:rPr>
              <w:t xml:space="preserve">□其他   </w:t>
            </w:r>
          </w:p>
        </w:tc>
        <w:tc>
          <w:tcPr>
            <w:tcW w:w="510"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585"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9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600"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435"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w:t>
            </w:r>
          </w:p>
        </w:tc>
        <w:tc>
          <w:tcPr>
            <w:tcW w:w="391" w:type="dxa"/>
            <w:tcBorders>
              <w:tl2br w:val="nil"/>
              <w:tr2bl w:val="nil"/>
            </w:tcBorders>
            <w:noWrap w:val="0"/>
            <w:tcMar>
              <w:left w:w="105" w:type="dxa"/>
              <w:right w:w="105" w:type="dxa"/>
            </w:tcMar>
            <w:vAlign w:val="center"/>
          </w:tcPr>
          <w:p>
            <w:pPr>
              <w:keepNext w:val="0"/>
              <w:keepLines w:val="0"/>
              <w:pageBreakBefore w:val="0"/>
              <w:widowControl/>
              <w:suppressLineNumbers w:val="0"/>
              <w:kinsoku/>
              <w:wordWrap w:val="0"/>
              <w:overflowPunct/>
              <w:topLinePunct w:val="0"/>
              <w:bidi w:val="0"/>
              <w:adjustRightInd/>
              <w:snapToGrid/>
              <w:spacing w:beforeAutospacing="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11</w:t>
            </w:r>
          </w:p>
        </w:tc>
        <w:tc>
          <w:tcPr>
            <w:tcW w:w="721" w:type="dxa"/>
            <w:vMerge w:val="restart"/>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行政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lang w:val="en-US" w:eastAsia="zh-CN" w:bidi="ar-SA"/>
              </w:rPr>
              <w:t>许可</w:t>
            </w:r>
          </w:p>
        </w:tc>
        <w:tc>
          <w:tcPr>
            <w:tcW w:w="1633"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bidi="ar-SA"/>
              </w:rPr>
              <w:t>出版物零售单位和个体工商户设立、变更审批</w:t>
            </w:r>
          </w:p>
        </w:tc>
        <w:tc>
          <w:tcPr>
            <w:tcW w:w="202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keepNext w:val="0"/>
              <w:keepLines w:val="0"/>
              <w:pageBreakBefore w:val="0"/>
              <w:widowControl/>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2.行政许可决定。</w:t>
            </w:r>
          </w:p>
        </w:tc>
        <w:tc>
          <w:tcPr>
            <w:tcW w:w="225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1.《中华人民共和国行政许可法》；</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2.《中华人民共和国政府信息公开条例》；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3.《出版管理条例》；</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lang w:bidi="ar-SA"/>
              </w:rPr>
            </w:pPr>
            <w:r>
              <w:rPr>
                <w:rFonts w:hint="eastAsia" w:ascii="宋体" w:hAnsi="宋体" w:eastAsia="宋体" w:cs="宋体"/>
                <w:color w:val="000000"/>
                <w:spacing w:val="0"/>
                <w:position w:val="0"/>
                <w:sz w:val="18"/>
                <w:szCs w:val="18"/>
                <w:lang w:bidi="ar-SA"/>
              </w:rPr>
              <w:t>4.《出版物市场管理规定》；</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5.《关于全面推进政务公开工作的意见》。</w:t>
            </w:r>
          </w:p>
        </w:tc>
        <w:tc>
          <w:tcPr>
            <w:tcW w:w="11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信息形成或变更之日起20个工作日内公开</w:t>
            </w:r>
          </w:p>
        </w:tc>
        <w:tc>
          <w:tcPr>
            <w:tcW w:w="17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县（市、区）新闻出版主管部门</w:t>
            </w:r>
          </w:p>
        </w:tc>
        <w:tc>
          <w:tcPr>
            <w:tcW w:w="30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shd w:val="clear" w:color="auto" w:fill="FFFFFF"/>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1.政府网站</w:t>
            </w:r>
          </w:p>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0"/>
                <w:position w:val="0"/>
                <w:sz w:val="18"/>
                <w:szCs w:val="18"/>
                <w:shd w:val="clear" w:color="auto" w:fill="FFFFFF"/>
                <w:lang w:val="en-US" w:eastAsia="zh-CN" w:bidi="ar-SA"/>
              </w:rPr>
            </w:pPr>
            <w:r>
              <w:rPr>
                <w:rFonts w:hint="eastAsia" w:ascii="宋体" w:hAnsi="宋体" w:eastAsia="宋体" w:cs="宋体"/>
                <w:color w:val="000000"/>
                <w:spacing w:val="0"/>
                <w:kern w:val="0"/>
                <w:position w:val="0"/>
                <w:sz w:val="18"/>
                <w:szCs w:val="18"/>
                <w:shd w:val="clear" w:color="auto" w:fill="FFFFFF"/>
                <w:lang w:val="en-US" w:eastAsia="zh-CN" w:bidi="ar-SA"/>
              </w:rPr>
              <w:t>2.</w:t>
            </w:r>
            <w:r>
              <w:rPr>
                <w:rFonts w:hint="eastAsia" w:ascii="宋体" w:hAnsi="宋体" w:eastAsia="宋体" w:cs="宋体"/>
                <w:color w:val="000000"/>
                <w:spacing w:val="0"/>
                <w:kern w:val="0"/>
                <w:position w:val="0"/>
                <w:sz w:val="18"/>
                <w:szCs w:val="18"/>
                <w:shd w:val="clear" w:color="auto" w:fill="FFFFFF"/>
                <w:lang w:bidi="ar-SA"/>
              </w:rPr>
              <w:t>政务服务中心</w:t>
            </w:r>
          </w:p>
        </w:tc>
        <w:tc>
          <w:tcPr>
            <w:tcW w:w="51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58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600"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bidi="ar-SA"/>
              </w:rPr>
              <w:t>√</w:t>
            </w:r>
          </w:p>
        </w:tc>
        <w:tc>
          <w:tcPr>
            <w:tcW w:w="391" w:type="dxa"/>
            <w:tcBorders>
              <w:tl2br w:val="nil"/>
              <w:tr2bl w:val="nil"/>
            </w:tcBorders>
            <w:noWrap w:val="0"/>
            <w:tcMar>
              <w:left w:w="105" w:type="dxa"/>
              <w:right w:w="105" w:type="dxa"/>
            </w:tcMar>
            <w:vAlign w:val="center"/>
          </w:tcPr>
          <w:p>
            <w:pPr>
              <w:keepNext w:val="0"/>
              <w:keepLines w:val="0"/>
              <w:pageBreakBefore w:val="0"/>
              <w:widowControl/>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12</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乡镇设立广播电视站和机关、部队、团体、企业事业单位设立有线广播电视站审批</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•审批结果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《广播电视站审批管理暂行规 定》</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13</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有线广播电视传输覆盖网工程验收审核</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w:t>
            </w:r>
            <w:r>
              <w:rPr>
                <w:rFonts w:hint="eastAsia" w:cs="宋体"/>
                <w:color w:val="000000"/>
                <w:spacing w:val="0"/>
                <w:position w:val="0"/>
                <w:sz w:val="18"/>
                <w:szCs w:val="18"/>
                <w:lang w:val="en-US" w:eastAsia="zh-CN"/>
              </w:rPr>
              <w:t>审核结果</w:t>
            </w:r>
          </w:p>
        </w:tc>
        <w:tc>
          <w:tcPr>
            <w:tcW w:w="2250"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《广播电视管理条例》</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w:t>
            </w:r>
            <w:r>
              <w:rPr>
                <w:rFonts w:hint="eastAsia" w:ascii="宋体" w:hAnsi="宋体" w:eastAsia="宋体" w:cs="宋体"/>
                <w:color w:val="000000"/>
                <w:spacing w:val="0"/>
                <w:w w:val="100"/>
                <w:position w:val="0"/>
                <w:sz w:val="18"/>
                <w:szCs w:val="18"/>
              </w:rPr>
              <w:t>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14</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卫星电视广播地面接收设施安装服务许可</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•许可结果</w:t>
            </w:r>
          </w:p>
        </w:tc>
        <w:tc>
          <w:tcPr>
            <w:tcW w:w="225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《广播电视站审批管理暂行规 定》《广电总局关于设立卫星地面接收设施安装服务机构审批事项的通知》</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信息形成</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个工作日内</w:t>
            </w:r>
          </w:p>
        </w:tc>
        <w:tc>
          <w:tcPr>
            <w:tcW w:w="17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lang w:eastAsia="zh-CN"/>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blCellSpacing w:w="0" w:type="dxa"/>
        </w:trPr>
        <w:tc>
          <w:tcPr>
            <w:tcW w:w="586" w:type="dxa"/>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default" w:ascii="宋体" w:hAnsi="宋体" w:eastAsia="宋体" w:cs="宋体"/>
                <w:color w:val="000000"/>
                <w:spacing w:val="0"/>
                <w:position w:val="0"/>
                <w:sz w:val="18"/>
                <w:szCs w:val="18"/>
                <w:lang w:val="en-US" w:eastAsia="zh-CN"/>
              </w:rPr>
            </w:pPr>
            <w:r>
              <w:rPr>
                <w:rFonts w:hint="eastAsia" w:ascii="宋体" w:hAnsi="宋体" w:eastAsia="宋体" w:cs="宋体"/>
                <w:color w:val="000000"/>
                <w:spacing w:val="0"/>
                <w:position w:val="0"/>
                <w:sz w:val="18"/>
                <w:szCs w:val="18"/>
                <w:lang w:val="en-US" w:eastAsia="zh-CN"/>
              </w:rPr>
              <w:t>15</w:t>
            </w:r>
          </w:p>
        </w:tc>
        <w:tc>
          <w:tcPr>
            <w:tcW w:w="721" w:type="dxa"/>
            <w:vMerge w:val="continue"/>
            <w:tcBorders>
              <w:tl2br w:val="nil"/>
              <w:tr2bl w:val="nil"/>
            </w:tcBorders>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240" w:lineRule="exact"/>
              <w:ind w:left="0" w:right="0" w:firstLine="0" w:firstLineChars="0"/>
              <w:jc w:val="center"/>
              <w:textAlignment w:val="auto"/>
              <w:rPr>
                <w:rFonts w:hint="eastAsia" w:ascii="宋体" w:hAnsi="宋体" w:eastAsia="宋体" w:cs="宋体"/>
                <w:color w:val="000000"/>
                <w:spacing w:val="0"/>
                <w:position w:val="0"/>
                <w:sz w:val="18"/>
                <w:szCs w:val="18"/>
              </w:rPr>
            </w:pPr>
          </w:p>
        </w:tc>
        <w:tc>
          <w:tcPr>
            <w:tcW w:w="1633"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设置卫星电视广播地面接收设施审批</w:t>
            </w:r>
          </w:p>
        </w:tc>
        <w:tc>
          <w:tcPr>
            <w:tcW w:w="202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both"/>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•主体信息</w:t>
            </w:r>
          </w:p>
          <w:p>
            <w:pPr>
              <w:pStyle w:val="5"/>
              <w:keepNext w:val="0"/>
              <w:keepLines w:val="0"/>
              <w:pageBreakBefore w:val="0"/>
              <w:kinsoku/>
              <w:overflowPunct/>
              <w:topLinePunct w:val="0"/>
              <w:bidi w:val="0"/>
              <w:adjustRightInd/>
              <w:snapToGrid/>
              <w:spacing w:line="240" w:lineRule="exact"/>
              <w:ind w:left="0" w:leftChars="0" w:right="0" w:firstLine="0" w:firstLineChars="0"/>
              <w:jc w:val="both"/>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•审批结果</w:t>
            </w:r>
          </w:p>
        </w:tc>
        <w:tc>
          <w:tcPr>
            <w:tcW w:w="225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《广播电视管理条例》</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w:t>
            </w: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r>
              <w:rPr>
                <w:rFonts w:hint="eastAsia" w:ascii="宋体" w:hAnsi="宋体" w:eastAsia="宋体" w:cs="宋体"/>
                <w:color w:val="000000"/>
                <w:spacing w:val="0"/>
                <w:position w:val="0"/>
                <w:sz w:val="18"/>
                <w:szCs w:val="18"/>
              </w:rPr>
              <w:t>《〈卫星电视广播地面接收设施管理规定〉实施</w:t>
            </w: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细则》</w:t>
            </w:r>
          </w:p>
        </w:tc>
        <w:tc>
          <w:tcPr>
            <w:tcW w:w="1185" w:type="dxa"/>
            <w:tcBorders>
              <w:tl2br w:val="nil"/>
              <w:tr2bl w:val="nil"/>
            </w:tcBorders>
            <w:noWrap w:val="0"/>
            <w:tcMar>
              <w:left w:w="105" w:type="dxa"/>
              <w:right w:w="105" w:type="dxa"/>
            </w:tcMar>
            <w:vAlign w:val="center"/>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position w:val="0"/>
                <w:sz w:val="18"/>
                <w:szCs w:val="18"/>
              </w:rPr>
            </w:pPr>
          </w:p>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信息形成（变更）</w:t>
            </w:r>
            <w:r>
              <w:rPr>
                <w:rFonts w:hint="eastAsia" w:ascii="宋体" w:hAnsi="宋体" w:eastAsia="宋体" w:cs="宋体"/>
                <w:color w:val="000000"/>
                <w:spacing w:val="0"/>
                <w:position w:val="0"/>
                <w:sz w:val="18"/>
                <w:szCs w:val="18"/>
                <w:lang w:val="en-US" w:eastAsia="zh-CN"/>
              </w:rPr>
              <w:t>7</w:t>
            </w:r>
            <w:r>
              <w:rPr>
                <w:rFonts w:hint="eastAsia" w:ascii="宋体" w:hAnsi="宋体" w:eastAsia="宋体" w:cs="宋体"/>
                <w:color w:val="000000"/>
                <w:spacing w:val="0"/>
                <w:position w:val="0"/>
                <w:sz w:val="18"/>
                <w:szCs w:val="18"/>
              </w:rPr>
              <w:t xml:space="preserve"> 个工作日内</w:t>
            </w:r>
          </w:p>
        </w:tc>
        <w:tc>
          <w:tcPr>
            <w:tcW w:w="17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position w:val="0"/>
                <w:sz w:val="18"/>
                <w:szCs w:val="18"/>
                <w:lang w:val="en-US" w:eastAsia="zh-CN"/>
              </w:rPr>
            </w:pPr>
          </w:p>
          <w:p>
            <w:pPr>
              <w:pStyle w:val="5"/>
              <w:keepNext w:val="0"/>
              <w:keepLines w:val="0"/>
              <w:pageBreakBefore w:val="0"/>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lang w:val="en-US" w:eastAsia="zh-CN"/>
              </w:rPr>
              <w:t>县级</w:t>
            </w:r>
            <w:r>
              <w:rPr>
                <w:rFonts w:hint="eastAsia" w:ascii="宋体" w:hAnsi="宋体" w:eastAsia="宋体" w:cs="宋体"/>
                <w:color w:val="000000"/>
                <w:spacing w:val="0"/>
                <w:kern w:val="0"/>
                <w:position w:val="0"/>
                <w:sz w:val="18"/>
                <w:szCs w:val="18"/>
              </w:rPr>
              <w:t>（市辖区、县级市）</w:t>
            </w:r>
            <w:r>
              <w:rPr>
                <w:rFonts w:hint="eastAsia" w:ascii="宋体" w:hAnsi="宋体" w:eastAsia="宋体" w:cs="宋体"/>
                <w:color w:val="000000"/>
                <w:spacing w:val="0"/>
                <w:position w:val="0"/>
                <w:sz w:val="18"/>
                <w:szCs w:val="18"/>
                <w:lang w:val="en-US" w:eastAsia="zh-CN"/>
              </w:rPr>
              <w:t>文化广电和旅游局</w:t>
            </w:r>
          </w:p>
        </w:tc>
        <w:tc>
          <w:tcPr>
            <w:tcW w:w="3000" w:type="dxa"/>
            <w:tcBorders>
              <w:tl2br w:val="nil"/>
              <w:tr2bl w:val="nil"/>
            </w:tcBorders>
            <w:noWrap w:val="0"/>
            <w:tcMar>
              <w:left w:w="105" w:type="dxa"/>
              <w:right w:w="105" w:type="dxa"/>
            </w:tcMar>
            <w:vAlign w:val="center"/>
          </w:tcPr>
          <w:p>
            <w:pPr>
              <w:pStyle w:val="5"/>
              <w:keepNext w:val="0"/>
              <w:keepLines w:val="0"/>
              <w:pageBreakBefore w:val="0"/>
              <w:numPr>
                <w:ilvl w:val="0"/>
                <w:numId w:val="0"/>
              </w:numPr>
              <w:tabs>
                <w:tab w:val="left" w:pos="467"/>
              </w:tabs>
              <w:kinsoku/>
              <w:overflowPunct/>
              <w:topLinePunct w:val="0"/>
              <w:bidi w:val="0"/>
              <w:adjustRightInd/>
              <w:snapToGrid/>
              <w:spacing w:line="240" w:lineRule="exact"/>
              <w:ind w:left="0" w:leftChars="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position w:val="0"/>
                <w:sz w:val="18"/>
                <w:szCs w:val="18"/>
              </w:rPr>
              <w:t>政府网站</w:t>
            </w:r>
          </w:p>
        </w:tc>
        <w:tc>
          <w:tcPr>
            <w:tcW w:w="51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leftChars="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58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9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600"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c>
          <w:tcPr>
            <w:tcW w:w="435"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position w:val="0"/>
                <w:sz w:val="18"/>
                <w:szCs w:val="18"/>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w w:val="100"/>
                <w:kern w:val="2"/>
                <w:position w:val="0"/>
                <w:sz w:val="18"/>
                <w:szCs w:val="18"/>
                <w:lang w:val="en-US" w:eastAsia="zh-CN" w:bidi="ar-SA"/>
              </w:rPr>
            </w:pPr>
            <w:r>
              <w:rPr>
                <w:rFonts w:hint="eastAsia" w:ascii="宋体" w:hAnsi="宋体" w:eastAsia="宋体" w:cs="宋体"/>
                <w:color w:val="000000"/>
                <w:spacing w:val="0"/>
                <w:w w:val="100"/>
                <w:position w:val="0"/>
                <w:sz w:val="18"/>
                <w:szCs w:val="18"/>
              </w:rPr>
              <w:t>√</w:t>
            </w:r>
          </w:p>
        </w:tc>
        <w:tc>
          <w:tcPr>
            <w:tcW w:w="391" w:type="dxa"/>
            <w:tcBorders>
              <w:tl2br w:val="nil"/>
              <w:tr2bl w:val="nil"/>
            </w:tcBorders>
            <w:noWrap w:val="0"/>
            <w:tcMar>
              <w:left w:w="105" w:type="dxa"/>
              <w:right w:w="105" w:type="dxa"/>
            </w:tcMar>
            <w:vAlign w:val="top"/>
          </w:tcPr>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p>
            <w:pPr>
              <w:pStyle w:val="5"/>
              <w:keepNext w:val="0"/>
              <w:keepLines w:val="0"/>
              <w:pageBreakBefore w:val="0"/>
              <w:kinsoku/>
              <w:overflowPunct/>
              <w:topLinePunct w:val="0"/>
              <w:bidi w:val="0"/>
              <w:adjustRightInd/>
              <w:snapToGrid/>
              <w:spacing w:line="240" w:lineRule="exact"/>
              <w:ind w:left="0" w:right="0" w:rightChars="0" w:firstLine="0" w:firstLineChars="0"/>
              <w:jc w:val="center"/>
              <w:textAlignment w:val="auto"/>
              <w:rPr>
                <w:rFonts w:hint="eastAsia" w:ascii="宋体" w:hAnsi="宋体" w:eastAsia="宋体" w:cs="宋体"/>
                <w:color w:val="000000"/>
                <w:spacing w:val="0"/>
                <w:kern w:val="2"/>
                <w:position w:val="0"/>
                <w:sz w:val="18"/>
                <w:szCs w:val="18"/>
                <w:lang w:val="en-US" w:eastAsia="zh-CN" w:bidi="ar-SA"/>
              </w:rPr>
            </w:pPr>
          </w:p>
        </w:tc>
      </w:tr>
    </w:tbl>
    <w:p>
      <w:pPr>
        <w:rPr>
          <w:rFonts w:hint="eastAsia" w:ascii="仿宋_GB2312" w:hAnsi="仿宋_GB2312" w:eastAsia="仿宋_GB2312" w:cs="仿宋_GB2312"/>
          <w:sz w:val="32"/>
          <w:szCs w:val="32"/>
        </w:rPr>
      </w:pPr>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628D66-FBF1-461A-BFCB-E4D6EFCC4F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D4F187D-F386-4178-BA53-4645AAD0FCE4}"/>
  </w:font>
  <w:font w:name="方正小标宋简体">
    <w:panose1 w:val="02000000000000000000"/>
    <w:charset w:val="86"/>
    <w:family w:val="auto"/>
    <w:pitch w:val="default"/>
    <w:sig w:usb0="00000001" w:usb1="080E0000" w:usb2="00000000" w:usb3="00000000" w:csb0="00040000" w:csb1="00000000"/>
    <w:embedRegular r:id="rId3" w:fontKey="{BEABD5F1-C185-4B7E-AF77-1A7D14BCA3F1}"/>
  </w:font>
  <w:font w:name="仿宋_GB2312">
    <w:panose1 w:val="02010609030101010101"/>
    <w:charset w:val="86"/>
    <w:family w:val="auto"/>
    <w:pitch w:val="default"/>
    <w:sig w:usb0="00000001" w:usb1="080E0000" w:usb2="00000000" w:usb3="00000000" w:csb0="00040000" w:csb1="00000000"/>
    <w:embedRegular r:id="rId4" w:fontKey="{53FD27A6-1666-4387-BE47-50237D1D44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zhlN2JiZDQ3YWFjYzE1ZjIxMTQ5YzM2MjAwNDIifQ=="/>
  </w:docVars>
  <w:rsids>
    <w:rsidRoot w:val="5D566ACF"/>
    <w:rsid w:val="04AA7AB6"/>
    <w:rsid w:val="08890645"/>
    <w:rsid w:val="1A22449B"/>
    <w:rsid w:val="26EF5A3B"/>
    <w:rsid w:val="2BB313F7"/>
    <w:rsid w:val="375C0B95"/>
    <w:rsid w:val="5824296E"/>
    <w:rsid w:val="5D566ACF"/>
    <w:rsid w:val="689D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2023-12-06T02:20:00Z</dcterms:created>
  <dc:creator>刘峥</dc:creator>
  <cp:lastModifiedBy>刘峥</cp:lastModifiedBy>
  <dcterms:modified xsi:type="dcterms:W3CDTF">2023-12-27T05:37:02Z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B1E7AAA7A0554C72BE5FE8549B30CB80_11</vt:lpwstr>
  </property>
</Properties>
</file>