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大标宋简体" w:hAnsi="仿宋" w:eastAsia="方正大标宋简体" w:cs="文星标宋"/>
          <w:bCs/>
          <w:sz w:val="44"/>
          <w:szCs w:val="44"/>
        </w:rPr>
      </w:pPr>
      <w:bookmarkStart w:id="0" w:name="_GoBack"/>
      <w:bookmarkEnd w:id="0"/>
      <w:r>
        <w:rPr>
          <w:rFonts w:hint="eastAsia" w:ascii="方正大标宋简体" w:hAnsi="仿宋" w:eastAsia="方正大标宋简体" w:cs="文星标宋"/>
          <w:bCs/>
          <w:sz w:val="44"/>
          <w:szCs w:val="44"/>
        </w:rPr>
        <w:t>政　府　工　作　报　告</w:t>
      </w:r>
    </w:p>
    <w:p>
      <w:pPr>
        <w:spacing w:line="580" w:lineRule="exact"/>
        <w:jc w:val="center"/>
        <w:rPr>
          <w:rFonts w:hint="eastAsia" w:ascii="楷体" w:hAnsi="楷体" w:eastAsia="楷体" w:cs="文星楷体"/>
          <w:b/>
          <w:bCs/>
          <w:sz w:val="32"/>
          <w:szCs w:val="32"/>
          <w:lang w:eastAsia="zh-CN"/>
        </w:rPr>
      </w:pPr>
      <w:r>
        <w:rPr>
          <w:rFonts w:hint="eastAsia" w:ascii="楷体" w:hAnsi="楷体" w:eastAsia="楷体" w:cs="文星楷体"/>
          <w:b/>
          <w:bCs/>
          <w:sz w:val="32"/>
          <w:szCs w:val="32"/>
        </w:rPr>
        <w:t>中峰乡人民政府乡长　</w:t>
      </w:r>
    </w:p>
    <w:p>
      <w:pPr>
        <w:spacing w:line="580" w:lineRule="exact"/>
        <w:jc w:val="center"/>
        <w:rPr>
          <w:rFonts w:hint="eastAsia" w:ascii="楷体" w:hAnsi="楷体" w:eastAsia="楷体" w:cs="文星楷体"/>
          <w:b/>
          <w:bCs/>
          <w:sz w:val="32"/>
          <w:szCs w:val="32"/>
        </w:rPr>
      </w:pPr>
      <w:r>
        <w:rPr>
          <w:rFonts w:hint="eastAsia" w:ascii="楷体" w:hAnsi="楷体" w:eastAsia="楷体" w:cs="文星楷体"/>
          <w:b/>
          <w:bCs/>
          <w:sz w:val="32"/>
          <w:szCs w:val="32"/>
        </w:rPr>
        <w:t>（</w:t>
      </w:r>
      <w:r>
        <w:rPr>
          <w:rFonts w:ascii="楷体" w:hAnsi="楷体" w:eastAsia="楷体" w:cs="文星楷体"/>
          <w:b/>
          <w:bCs/>
          <w:sz w:val="32"/>
          <w:szCs w:val="32"/>
        </w:rPr>
        <w:t>202</w:t>
      </w:r>
      <w:r>
        <w:rPr>
          <w:rFonts w:hint="eastAsia" w:ascii="楷体" w:hAnsi="楷体" w:eastAsia="楷体" w:cs="文星楷体"/>
          <w:b/>
          <w:bCs/>
          <w:sz w:val="32"/>
          <w:szCs w:val="32"/>
          <w:lang w:val="en-US" w:eastAsia="zh-CN"/>
        </w:rPr>
        <w:t>2</w:t>
      </w:r>
      <w:r>
        <w:rPr>
          <w:rFonts w:ascii="楷体" w:hAnsi="楷体" w:eastAsia="楷体" w:cs="文星楷体"/>
          <w:b/>
          <w:bCs/>
          <w:sz w:val="32"/>
          <w:szCs w:val="32"/>
        </w:rPr>
        <w:t>年</w:t>
      </w:r>
      <w:r>
        <w:rPr>
          <w:rFonts w:hint="eastAsia" w:ascii="楷体" w:hAnsi="楷体" w:eastAsia="楷体" w:cs="文星楷体"/>
          <w:b/>
          <w:bCs/>
          <w:sz w:val="32"/>
          <w:szCs w:val="32"/>
          <w:lang w:val="en-US" w:eastAsia="zh-CN"/>
        </w:rPr>
        <w:t>12</w:t>
      </w:r>
      <w:r>
        <w:rPr>
          <w:rFonts w:ascii="楷体" w:hAnsi="楷体" w:eastAsia="楷体" w:cs="文星楷体"/>
          <w:b/>
          <w:bCs/>
          <w:sz w:val="32"/>
          <w:szCs w:val="32"/>
        </w:rPr>
        <w:t>月</w:t>
      </w:r>
      <w:r>
        <w:rPr>
          <w:rFonts w:hint="eastAsia" w:ascii="楷体" w:hAnsi="楷体" w:eastAsia="楷体" w:cs="文星楷体"/>
          <w:b/>
          <w:bCs/>
          <w:sz w:val="32"/>
          <w:szCs w:val="32"/>
          <w:lang w:val="en-US" w:eastAsia="zh-CN"/>
        </w:rPr>
        <w:t>7</w:t>
      </w:r>
      <w:r>
        <w:rPr>
          <w:rFonts w:ascii="楷体" w:hAnsi="楷体" w:eastAsia="楷体" w:cs="文星楷体"/>
          <w:b/>
          <w:bCs/>
          <w:sz w:val="32"/>
          <w:szCs w:val="32"/>
        </w:rPr>
        <w:t>日</w:t>
      </w:r>
      <w:r>
        <w:rPr>
          <w:rFonts w:hint="eastAsia" w:ascii="楷体" w:hAnsi="楷体" w:eastAsia="楷体" w:cs="文星楷体"/>
          <w:b/>
          <w:bCs/>
          <w:sz w:val="32"/>
          <w:szCs w:val="32"/>
        </w:rPr>
        <w:t>）</w:t>
      </w:r>
    </w:p>
    <w:p>
      <w:pPr>
        <w:spacing w:line="580" w:lineRule="exact"/>
        <w:rPr>
          <w:rFonts w:ascii="仿宋" w:hAnsi="仿宋" w:eastAsia="仿宋" w:cs="文星仿宋"/>
          <w:sz w:val="32"/>
          <w:szCs w:val="32"/>
        </w:rPr>
      </w:pPr>
    </w:p>
    <w:p>
      <w:pPr>
        <w:spacing w:line="580" w:lineRule="exact"/>
        <w:rPr>
          <w:rFonts w:ascii="仿宋" w:hAnsi="仿宋" w:eastAsia="仿宋" w:cs="文星仿宋"/>
          <w:sz w:val="32"/>
          <w:szCs w:val="32"/>
        </w:rPr>
      </w:pPr>
      <w:r>
        <w:rPr>
          <w:rFonts w:hint="eastAsia" w:ascii="仿宋" w:hAnsi="仿宋" w:eastAsia="仿宋" w:cs="文星仿宋"/>
          <w:sz w:val="32"/>
          <w:szCs w:val="32"/>
        </w:rPr>
        <w:t>各位代表：</w:t>
      </w:r>
    </w:p>
    <w:p>
      <w:pPr>
        <w:spacing w:line="580" w:lineRule="exact"/>
        <w:rPr>
          <w:rFonts w:ascii="仿宋" w:hAnsi="仿宋" w:eastAsia="仿宋" w:cs="文星仿宋"/>
          <w:sz w:val="32"/>
          <w:szCs w:val="32"/>
        </w:rPr>
      </w:pPr>
      <w:r>
        <w:rPr>
          <w:rFonts w:hint="eastAsia" w:ascii="仿宋" w:hAnsi="仿宋" w:eastAsia="仿宋" w:cs="文星仿宋"/>
          <w:sz w:val="32"/>
          <w:szCs w:val="32"/>
        </w:rPr>
        <w:t>　　现在，我代表乡人民政府，向大会报告工作，请予审议，并请各位代表和其他列席人员提出意见。</w:t>
      </w:r>
    </w:p>
    <w:p>
      <w:pPr>
        <w:pStyle w:val="7"/>
        <w:widowControl/>
        <w:shd w:val="clear" w:color="auto" w:fill="FFFFFF"/>
        <w:spacing w:beforeAutospacing="0" w:afterAutospacing="0" w:line="600" w:lineRule="exact"/>
        <w:ind w:firstLine="643" w:firstLineChars="200"/>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第一部分：</w:t>
      </w:r>
      <w:r>
        <w:rPr>
          <w:rFonts w:hint="eastAsia" w:ascii="黑体" w:hAnsi="黑体" w:eastAsia="黑体" w:cs="黑体"/>
          <w:b/>
          <w:bCs/>
          <w:sz w:val="32"/>
          <w:szCs w:val="32"/>
        </w:rPr>
        <w:t>2022 年工作</w:t>
      </w:r>
      <w:r>
        <w:rPr>
          <w:rFonts w:hint="eastAsia" w:ascii="黑体" w:hAnsi="黑体" w:eastAsia="黑体" w:cs="黑体"/>
          <w:b/>
          <w:bCs/>
          <w:sz w:val="32"/>
          <w:szCs w:val="32"/>
          <w:lang w:val="en-US" w:eastAsia="zh-CN"/>
        </w:rPr>
        <w:t>开展</w:t>
      </w:r>
      <w:r>
        <w:rPr>
          <w:rFonts w:hint="eastAsia" w:ascii="黑体" w:hAnsi="黑体" w:eastAsia="黑体" w:cs="黑体"/>
          <w:b/>
          <w:bCs/>
          <w:sz w:val="32"/>
          <w:szCs w:val="32"/>
        </w:rPr>
        <w:t>情况</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2022年乡人民政府在县委、县政府和乡党委的正确领导下，在乡人大依法监督和大力支持下，领导班子团结协作，</w:t>
      </w:r>
      <w:r>
        <w:rPr>
          <w:rFonts w:hint="eastAsia" w:ascii="仿宋" w:hAnsi="仿宋" w:eastAsia="仿宋" w:cs="仿宋"/>
          <w:sz w:val="32"/>
          <w:szCs w:val="32"/>
          <w:lang w:val="en-US" w:eastAsia="zh-CN"/>
        </w:rPr>
        <w:t>紧紧围绕中央经济会议精神和省委、市委经济工作会议精神，按照县委、县政府工作部署，全面贯彻新发展理念，坚持稳中求进工作总基调，以作风能力建设攻坚为动力，把各项重点工作作为干部干事创业的主阵地、主战场、主引擎，破难点，挖亮点，各项工作推进有力，亮点纷呈，现将有关情况汇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一、强力打造工作亮点</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（一）招商引资工作取得新突破，回归经济发展势头迅猛。</w:t>
      </w:r>
      <w:r>
        <w:rPr>
          <w:rFonts w:hint="eastAsia" w:ascii="仿宋" w:hAnsi="仿宋" w:eastAsia="仿宋" w:cs="仿宋"/>
          <w:sz w:val="32"/>
          <w:szCs w:val="32"/>
          <w:lang w:val="en-US" w:eastAsia="zh-CN"/>
        </w:rPr>
        <w:t>我们树立“项目为王”的概念，采取“驻地招商，以商招商、乡情招商、园区招商”等多种形式，强力推进招商引资工作，主攻国企、央企和上市公司、行业龙头企业，乡党委书记王楠带队先后赴江浙沪等地开展招商活动，成功招引投资10亿元的环龙机器人等一批重大项目，</w:t>
      </w:r>
      <w:r>
        <w:rPr>
          <w:rFonts w:hint="eastAsia" w:ascii="文星仿宋" w:hAnsi="文星仿宋" w:eastAsia="文星仿宋" w:cs="文星仿宋"/>
          <w:color w:val="auto"/>
          <w:spacing w:val="0"/>
          <w:sz w:val="32"/>
          <w:szCs w:val="32"/>
          <w:lang w:val="en-US" w:eastAsia="zh-CN"/>
        </w:rPr>
        <w:t>环龙机器人5G产业发展和场景应用项目被纳入市5G项目库，</w:t>
      </w:r>
      <w:r>
        <w:rPr>
          <w:rFonts w:hint="eastAsia" w:ascii="仿宋" w:hAnsi="仿宋" w:eastAsia="仿宋" w:cs="仿宋"/>
          <w:sz w:val="32"/>
          <w:szCs w:val="32"/>
          <w:lang w:val="en-US" w:eastAsia="zh-CN"/>
        </w:rPr>
        <w:t>“回归经济”完成“回归资金12亿元，到位资金4亿元。针对已引进的企业，扎实开展“万人助万企”活动，明确3名干部专门进驻企业服务，帮助企业第一时间解决企业生产经营中的困难和问题，确保了企业运营正常，经营良好。</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采取乡情推动，政策推动，园区引动等措施，推进“回归经济”建设。</w:t>
      </w:r>
      <w:r>
        <w:rPr>
          <w:rFonts w:hint="eastAsia" w:ascii="仿宋" w:hAnsi="仿宋" w:eastAsia="仿宋" w:cs="仿宋"/>
          <w:sz w:val="32"/>
          <w:szCs w:val="32"/>
          <w:lang w:val="en-US" w:eastAsia="zh-CN"/>
        </w:rPr>
        <w:t>规划占地100亩的“回归经济”创业园已完成租地工作，围绕家纺、木业、空调软管等主导产业，正在积极筹建，现有意向入园的企业已达25家。</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土地复耕工作加压推进，持续加大双违治理力度。</w:t>
      </w:r>
    </w:p>
    <w:p>
      <w:pPr>
        <w:pStyle w:val="5"/>
        <w:keepNext w:val="0"/>
        <w:keepLines w:val="0"/>
        <w:pageBreakBefore w:val="0"/>
        <w:kinsoku/>
        <w:wordWrap/>
        <w:overflowPunct/>
        <w:topLinePunct w:val="0"/>
        <w:autoSpaceDE/>
        <w:autoSpaceDN/>
        <w:bidi w:val="0"/>
        <w:snapToGrid/>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峰乡结合“能力作风建设年”活动，积极开展土地综合整治，加大双违治理力度，完善国土空间规划，推进土地复耕，把土地复耕工作作为内强作风，外树形象的工作来抓，力争把中峰的乡村干部打造成“能干事、会干事、干大事、干成事”的工作队伍，截至目前，全乡</w:t>
      </w:r>
      <w:r>
        <w:rPr>
          <w:rFonts w:hint="eastAsia" w:ascii="仿宋" w:hAnsi="仿宋" w:eastAsia="仿宋" w:cs="仿宋"/>
          <w:b/>
          <w:bCs/>
          <w:sz w:val="32"/>
          <w:szCs w:val="32"/>
          <w:lang w:val="en-US" w:eastAsia="zh-CN"/>
        </w:rPr>
        <w:t>复耕土地189亩，超额完成县定160亩的工作任务，多次受到县委县政府的通报表扬，</w:t>
      </w:r>
      <w:r>
        <w:rPr>
          <w:rFonts w:hint="eastAsia" w:ascii="仿宋" w:hAnsi="仿宋" w:eastAsia="仿宋" w:cs="仿宋"/>
          <w:sz w:val="32"/>
          <w:szCs w:val="32"/>
          <w:lang w:val="en-US" w:eastAsia="zh-CN"/>
        </w:rPr>
        <w:t>6月17日，李昊县长在中峰乡召开了全县土地复耕工作现场推进会，对中峰乡的土地复耕工作给予充分肯定。</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（三）人居环境整治工作掀起高潮，生态宜居中峰初现雏形。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峰乡将人居环境整治作为乡村振兴的重要抓手，按照“净起来、绿起来、亮起来、美起来”要求，成立了由主要领导牵头的指挥部，制定了工作方案，坚持“点上示范、线上延伸、面上拓展”的工作思路，全乡动员，全民发动，大力推进“生态中峰、绿色中峰、特色中峰”建设，我乡党员干部示范引领，班子领导分片包干，保洁员、公益岗、老党员、老干部、老教师积极参与，乡、村、组三级联动，全乡一盘棋，共建“四美乡村”。投资600余万元对城区内的两条主干道南北大道和东西大道进行统一墙体修缮和绘画，同时在两条主要干道两旁统一铺设花砖5000多平方，安装宣传铁艺200余个、路灯160多盏。</w:t>
      </w:r>
      <w:r>
        <w:rPr>
          <w:rFonts w:hint="eastAsia" w:ascii="仿宋" w:hAnsi="仿宋" w:eastAsia="仿宋" w:cs="仿宋"/>
          <w:b/>
          <w:bCs/>
          <w:sz w:val="32"/>
          <w:szCs w:val="32"/>
          <w:lang w:val="en-US" w:eastAsia="zh-CN"/>
        </w:rPr>
        <w:t>聚焦“净起来”目标，大力实施清洁家园活动。</w:t>
      </w:r>
      <w:r>
        <w:rPr>
          <w:rFonts w:hint="eastAsia" w:ascii="仿宋" w:hAnsi="仿宋" w:eastAsia="仿宋" w:cs="仿宋"/>
          <w:sz w:val="32"/>
          <w:szCs w:val="32"/>
          <w:lang w:val="en-US" w:eastAsia="zh-CN"/>
        </w:rPr>
        <w:t>全乡出动人员2500人次，动用机械、车辆68台（辆）。整治路肩50200米，道路35多公里米，清理广告牌700余个、无用条幅40余条，清理边坡、沟底等无用农作物和杂草58余吨，取消路边摊点23处、规范流动商贩46个。整治乱堆乱放150处，整治乱倒乱扔垃圾100余处，整治乱搭乱建158处，清除陈年垃圾 120多吨，清理塘沟42处，清除违建15处，清除杂物110余处，清除残垣断壁 23处。</w:t>
      </w:r>
      <w:r>
        <w:rPr>
          <w:rFonts w:hint="eastAsia" w:ascii="仿宋" w:hAnsi="仿宋" w:eastAsia="仿宋" w:cs="仿宋"/>
          <w:b/>
          <w:bCs/>
          <w:sz w:val="32"/>
          <w:szCs w:val="32"/>
          <w:lang w:val="en-US" w:eastAsia="zh-CN"/>
        </w:rPr>
        <w:t>瞄准“绿起来”目标</w:t>
      </w: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大力开展造绿补绿增绿行动。</w:t>
      </w:r>
      <w:r>
        <w:rPr>
          <w:rFonts w:hint="eastAsia" w:ascii="仿宋" w:hAnsi="仿宋" w:eastAsia="仿宋" w:cs="仿宋"/>
          <w:color w:val="333333"/>
          <w:spacing w:val="9"/>
          <w:sz w:val="32"/>
          <w:szCs w:val="32"/>
          <w:shd w:val="clear" w:color="auto" w:fill="FFFFFF"/>
        </w:rPr>
        <w:t>在S319省道中峰境内</w:t>
      </w:r>
      <w:r>
        <w:rPr>
          <w:rFonts w:hint="eastAsia" w:ascii="仿宋" w:hAnsi="仿宋" w:eastAsia="仿宋" w:cs="仿宋"/>
          <w:color w:val="333333"/>
          <w:spacing w:val="9"/>
          <w:sz w:val="32"/>
          <w:szCs w:val="32"/>
          <w:shd w:val="clear" w:color="auto" w:fill="FFFFFF"/>
          <w:lang w:val="en-US" w:eastAsia="zh-CN"/>
        </w:rPr>
        <w:t>以及</w:t>
      </w:r>
      <w:r>
        <w:rPr>
          <w:rFonts w:hint="eastAsia" w:ascii="仿宋" w:hAnsi="仿宋" w:eastAsia="仿宋" w:cs="仿宋"/>
          <w:color w:val="333333"/>
          <w:spacing w:val="9"/>
          <w:sz w:val="32"/>
          <w:szCs w:val="32"/>
          <w:shd w:val="clear" w:color="auto" w:fill="FFFFFF"/>
        </w:rPr>
        <w:t>乡大环圈及各村主干道</w:t>
      </w:r>
      <w:r>
        <w:rPr>
          <w:rFonts w:hint="eastAsia" w:ascii="仿宋" w:hAnsi="仿宋" w:eastAsia="仿宋" w:cs="仿宋"/>
          <w:color w:val="auto"/>
          <w:sz w:val="32"/>
          <w:szCs w:val="32"/>
          <w:shd w:val="clear" w:color="auto" w:fill="FFFFFF"/>
          <w:lang w:eastAsia="zh-CN"/>
        </w:rPr>
        <w:t>栽植</w:t>
      </w:r>
      <w:r>
        <w:rPr>
          <w:rFonts w:hint="eastAsia" w:ascii="仿宋" w:hAnsi="仿宋" w:eastAsia="仿宋" w:cs="仿宋"/>
          <w:color w:val="auto"/>
          <w:spacing w:val="9"/>
          <w:sz w:val="32"/>
          <w:szCs w:val="32"/>
          <w:shd w:val="clear" w:color="auto" w:fill="FFFFFF"/>
        </w:rPr>
        <w:t>栾树</w:t>
      </w:r>
      <w:r>
        <w:rPr>
          <w:rFonts w:hint="eastAsia" w:ascii="仿宋" w:hAnsi="仿宋" w:eastAsia="仿宋" w:cs="仿宋"/>
          <w:color w:val="auto"/>
          <w:spacing w:val="9"/>
          <w:sz w:val="32"/>
          <w:szCs w:val="32"/>
          <w:shd w:val="clear" w:color="auto" w:fill="FFFFFF"/>
          <w:lang w:eastAsia="zh-CN"/>
        </w:rPr>
        <w:t>、法桐、石楠、楸树、黄金槐、桂花、</w:t>
      </w:r>
      <w:r>
        <w:rPr>
          <w:rFonts w:hint="eastAsia" w:ascii="仿宋" w:hAnsi="仿宋" w:eastAsia="仿宋" w:cs="仿宋"/>
          <w:color w:val="auto"/>
          <w:spacing w:val="9"/>
          <w:sz w:val="32"/>
          <w:szCs w:val="32"/>
          <w:shd w:val="clear" w:color="auto" w:fill="FFFFFF"/>
        </w:rPr>
        <w:t>海棠、紫薇、樱花、女贞等</w:t>
      </w:r>
      <w:r>
        <w:rPr>
          <w:rFonts w:hint="eastAsia" w:ascii="仿宋" w:hAnsi="仿宋" w:eastAsia="仿宋" w:cs="仿宋"/>
          <w:color w:val="auto"/>
          <w:spacing w:val="9"/>
          <w:sz w:val="32"/>
          <w:szCs w:val="32"/>
          <w:shd w:val="clear" w:color="auto" w:fill="FFFFFF"/>
          <w:lang w:eastAsia="zh-CN"/>
        </w:rPr>
        <w:t>花果、绿化苗木</w:t>
      </w:r>
      <w:r>
        <w:rPr>
          <w:rFonts w:hint="eastAsia" w:ascii="仿宋" w:hAnsi="仿宋" w:eastAsia="仿宋" w:cs="仿宋"/>
          <w:color w:val="auto"/>
          <w:spacing w:val="9"/>
          <w:sz w:val="32"/>
          <w:szCs w:val="32"/>
          <w:shd w:val="clear" w:color="auto" w:fill="FFFFFF"/>
        </w:rPr>
        <w:t>共</w:t>
      </w:r>
      <w:r>
        <w:rPr>
          <w:rFonts w:hint="eastAsia" w:ascii="仿宋" w:hAnsi="仿宋" w:eastAsia="仿宋" w:cs="仿宋"/>
          <w:color w:val="auto"/>
          <w:spacing w:val="9"/>
          <w:sz w:val="32"/>
          <w:szCs w:val="32"/>
          <w:shd w:val="clear" w:color="auto" w:fill="FFFFFF"/>
          <w:lang w:val="en-US" w:eastAsia="zh-CN"/>
        </w:rPr>
        <w:t>5.1</w:t>
      </w:r>
      <w:r>
        <w:rPr>
          <w:rFonts w:hint="eastAsia" w:ascii="仿宋" w:hAnsi="仿宋" w:eastAsia="仿宋" w:cs="仿宋"/>
          <w:color w:val="auto"/>
          <w:spacing w:val="9"/>
          <w:sz w:val="32"/>
          <w:szCs w:val="32"/>
          <w:shd w:val="clear" w:color="auto" w:fill="FFFFFF"/>
        </w:rPr>
        <w:t>万余株</w:t>
      </w:r>
      <w:r>
        <w:rPr>
          <w:rFonts w:hint="eastAsia" w:ascii="仿宋" w:hAnsi="仿宋" w:eastAsia="仿宋" w:cs="仿宋"/>
          <w:color w:val="auto"/>
          <w:spacing w:val="9"/>
          <w:sz w:val="32"/>
          <w:szCs w:val="32"/>
          <w:shd w:val="clear" w:color="auto" w:fill="FFFFFF"/>
          <w:lang w:eastAsia="zh-CN"/>
        </w:rPr>
        <w:t>，</w:t>
      </w:r>
      <w:r>
        <w:rPr>
          <w:rFonts w:hint="eastAsia" w:ascii="仿宋" w:hAnsi="仿宋" w:eastAsia="仿宋" w:cs="仿宋"/>
          <w:b/>
          <w:bCs/>
          <w:color w:val="333333"/>
          <w:spacing w:val="9"/>
          <w:sz w:val="32"/>
          <w:szCs w:val="32"/>
          <w:shd w:val="clear" w:color="auto" w:fill="FFFFFF"/>
          <w:lang w:eastAsia="zh-CN"/>
        </w:rPr>
        <w:t>中峰乡绿化工作</w:t>
      </w:r>
      <w:r>
        <w:rPr>
          <w:rFonts w:hint="eastAsia" w:ascii="仿宋" w:hAnsi="仿宋" w:eastAsia="仿宋" w:cs="仿宋"/>
          <w:b/>
          <w:bCs/>
          <w:color w:val="333333"/>
          <w:spacing w:val="9"/>
          <w:sz w:val="32"/>
          <w:szCs w:val="32"/>
          <w:shd w:val="clear" w:color="auto" w:fill="FFFFFF"/>
          <w:lang w:val="en-US" w:eastAsia="zh-CN"/>
        </w:rPr>
        <w:t>一跃</w:t>
      </w:r>
      <w:r>
        <w:rPr>
          <w:rFonts w:hint="eastAsia" w:ascii="仿宋" w:hAnsi="仿宋" w:eastAsia="仿宋" w:cs="仿宋"/>
          <w:b/>
          <w:bCs/>
          <w:color w:val="333333"/>
          <w:spacing w:val="9"/>
          <w:sz w:val="32"/>
          <w:szCs w:val="32"/>
          <w:shd w:val="clear" w:color="auto" w:fill="FFFFFF"/>
          <w:lang w:eastAsia="zh-CN"/>
        </w:rPr>
        <w:t>走在了全县前列。</w:t>
      </w:r>
      <w:r>
        <w:rPr>
          <w:rFonts w:hint="eastAsia" w:ascii="仿宋" w:hAnsi="仿宋" w:eastAsia="仿宋" w:cs="仿宋"/>
          <w:sz w:val="32"/>
          <w:szCs w:val="32"/>
          <w:lang w:val="en-US" w:eastAsia="zh-CN"/>
        </w:rPr>
        <w:t>同时积极推广乡土树种，动员群众四旁植树，打造小菜园、小花园、小果园、小游园，实现“一宅变四园”。</w:t>
      </w:r>
      <w:r>
        <w:rPr>
          <w:rFonts w:hint="eastAsia" w:ascii="仿宋" w:hAnsi="仿宋" w:eastAsia="仿宋" w:cs="仿宋"/>
          <w:b/>
          <w:bCs/>
          <w:sz w:val="32"/>
          <w:szCs w:val="32"/>
          <w:lang w:val="en-US" w:eastAsia="zh-CN"/>
        </w:rPr>
        <w:t>推进“亮起来”目标，积极推进亮化工程。</w:t>
      </w:r>
      <w:r>
        <w:rPr>
          <w:rFonts w:hint="eastAsia" w:ascii="仿宋" w:hAnsi="仿宋" w:eastAsia="仿宋" w:cs="仿宋"/>
          <w:sz w:val="32"/>
          <w:szCs w:val="32"/>
          <w:lang w:val="en-US" w:eastAsia="zh-CN"/>
        </w:rPr>
        <w:t>在</w:t>
      </w:r>
      <w:r>
        <w:rPr>
          <w:rFonts w:hint="eastAsia" w:ascii="仿宋" w:hAnsi="仿宋" w:eastAsia="仿宋" w:cs="仿宋"/>
          <w:sz w:val="32"/>
          <w:szCs w:val="32"/>
          <w:shd w:val="clear" w:color="auto" w:fill="FFFFFF"/>
          <w:lang w:val="en-US" w:eastAsia="zh-CN"/>
        </w:rPr>
        <w:t>s319道路上及主街上安装太阳能路灯160余盏，中国结路灯100余盏，在23个行政村安装太阳能路灯近200余盏，</w:t>
      </w:r>
      <w:r>
        <w:rPr>
          <w:rFonts w:hint="eastAsia" w:ascii="仿宋" w:hAnsi="仿宋" w:eastAsia="仿宋" w:cs="仿宋"/>
          <w:sz w:val="32"/>
          <w:szCs w:val="32"/>
          <w:lang w:val="en-US" w:eastAsia="zh-CN"/>
        </w:rPr>
        <w:t>所有自然村实现路灯安装全覆盖，初步达到了“全域净、沿街绿、夜晚亮”的工作目标。</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（四）平安建设续写新辉煌，社会治理能力迈向新台阶。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eastAsia"/>
          <w:sz w:val="32"/>
          <w:szCs w:val="32"/>
          <w:lang w:eastAsia="zh-CN"/>
        </w:rPr>
      </w:pPr>
      <w:r>
        <w:rPr>
          <w:rFonts w:hint="eastAsia" w:ascii="仿宋" w:hAnsi="仿宋" w:eastAsia="仿宋" w:cs="仿宋"/>
          <w:sz w:val="32"/>
          <w:szCs w:val="32"/>
          <w:lang w:val="en-US" w:eastAsia="zh-CN"/>
        </w:rPr>
        <w:t>今年以来我们着力开展了以“三零”村、“三零”单位创建为切入点的平安建设工作,提高了基层社会治理能力和水平,打通了社会治理“最后一公里”。此项工作中，我乡构建了乡、村、组三级网络，形成了上下联动机制；注重“四治融合”，持续推广应用“四议两公开”工作法，进一步强化了民主管理、民主决策、民主监督；开展了“一村一干一警一法律顾问一民调队伍”、“六防六促”、“进百家门、知百家情、结百家亲、办百家事、解百家忧、暖百家心”等活动，依托网格员、调解员、驻村民警,全面排查辖区内的矛盾纠纷和安全隐患；加强了对治安状况及涉黑、涉毒、涉恐、涉爆等信息数据的动态监测、分析预判；开展了“雪亮工程”建设,视频监控达到重要部位全覆盖，实现了“人防”摸清底、“技防”强手段、“物防”保稳定。打击养老诈骗和非法集资、禁止非法种植毒品原植物工作扎实开展，成效明显。</w:t>
      </w:r>
      <w:r>
        <w:rPr>
          <w:rFonts w:hint="eastAsia" w:ascii="仿宋" w:hAnsi="仿宋" w:eastAsia="仿宋" w:cs="仿宋"/>
          <w:b/>
          <w:bCs/>
          <w:sz w:val="32"/>
          <w:szCs w:val="32"/>
          <w:lang w:val="en-US" w:eastAsia="zh-CN"/>
        </w:rPr>
        <w:t>3月18日，中峰乡被商丘市平安建设工作领导小组办公室命名为市级平安乡镇，中峰乡朱双楼村、中峰乡何关庄村被命名为市级平安村。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二、重点工作有序推进</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（一）基层堡垒不断夯实。</w:t>
      </w:r>
      <w:r>
        <w:rPr>
          <w:rFonts w:hint="eastAsia" w:ascii="仿宋_GB2312" w:hAnsi="仿宋_GB2312" w:eastAsia="仿宋_GB2312" w:cs="仿宋_GB2312"/>
          <w:sz w:val="32"/>
          <w:szCs w:val="32"/>
          <w:lang w:val="en-US" w:eastAsia="zh-CN"/>
        </w:rPr>
        <w:t>一是扎实开展能力作风建设工作，将能力作风建设攻坚同推动党员干部履职尽责和统筹推进项目建设、疫情防控、信访维稳、招商引资、安全生产等重点工作结合起来，把岗位当作练兵场，乡村干部改革攻坚能力、应急处突能力、群众工作能力、抓落实能力不断提升。二是积极做好“五星支部”创建工作。坚持把“五星”支部创建作为强基固本的重要举措，采取专题培训、以会代训等形式，指导各村居委会按照创建要求，明确“五星”争创工作目标。</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（二）民生福祉持续改善。</w:t>
      </w:r>
      <w:r>
        <w:rPr>
          <w:rFonts w:hint="eastAsia" w:ascii="仿宋_GB2312" w:hAnsi="仿宋_GB2312" w:eastAsia="仿宋_GB2312" w:cs="仿宋_GB2312"/>
          <w:b/>
          <w:bCs/>
          <w:sz w:val="32"/>
          <w:szCs w:val="32"/>
          <w:lang w:val="en-US" w:eastAsia="zh-CN"/>
        </w:rPr>
        <w:t>一是慎终如始抓好疫情防控工作。</w:t>
      </w:r>
      <w:r>
        <w:rPr>
          <w:rFonts w:hint="eastAsia" w:ascii="仿宋_GB2312" w:hAnsi="仿宋_GB2312" w:eastAsia="仿宋_GB2312" w:cs="仿宋_GB2312"/>
          <w:sz w:val="32"/>
          <w:szCs w:val="32"/>
          <w:lang w:val="en-US" w:eastAsia="zh-CN"/>
        </w:rPr>
        <w:t>2022年以来，</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乡村</w:t>
      </w:r>
      <w:r>
        <w:rPr>
          <w:rFonts w:hint="eastAsia" w:ascii="仿宋_GB2312" w:hAnsi="仿宋_GB2312" w:eastAsia="仿宋_GB2312" w:cs="仿宋_GB2312"/>
          <w:sz w:val="32"/>
          <w:szCs w:val="32"/>
        </w:rPr>
        <w:t>干部、医护人员、志愿者</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余人次顺利完成</w:t>
      </w:r>
      <w:r>
        <w:rPr>
          <w:rFonts w:hint="eastAsia" w:ascii="仿宋_GB2312" w:hAnsi="仿宋_GB2312" w:eastAsia="仿宋_GB2312" w:cs="仿宋_GB2312"/>
          <w:sz w:val="32"/>
          <w:szCs w:val="32"/>
          <w:lang w:val="en-US" w:eastAsia="zh-CN"/>
        </w:rPr>
        <w:t>我乡66</w:t>
      </w:r>
      <w:r>
        <w:rPr>
          <w:rFonts w:hint="eastAsia" w:ascii="仿宋_GB2312" w:hAnsi="仿宋_GB2312" w:eastAsia="仿宋_GB2312" w:cs="仿宋_GB2312"/>
          <w:sz w:val="32"/>
          <w:szCs w:val="32"/>
        </w:rPr>
        <w:t>轮全员核酸检测任务，共计检测</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万余人次，确保快速有力的同时做到应检尽检、不落一户、不漏一人</w:t>
      </w:r>
      <w:r>
        <w:rPr>
          <w:rFonts w:hint="eastAsia" w:ascii="仿宋_GB2312" w:hAnsi="仿宋_GB2312" w:eastAsia="仿宋_GB2312" w:cs="仿宋_GB2312"/>
          <w:sz w:val="32"/>
          <w:szCs w:val="32"/>
          <w:lang w:val="en-US" w:eastAsia="zh-CN"/>
        </w:rPr>
        <w:t>。“数字哨兵”应布尽布。严格落实市县有关要求，在辖区广泛开展“场所码”布建宣传工作，更加完善的“一门一码”“一店一码”“一场所一码”的社会化管控网络正在逐步形成。科学防控体系不断加固。优化疫苗接种服务保障工作，不断扩大覆盖面，提高疫苗接种比例，做到应接尽接，抵御病毒的免疫防线不断筑牢。</w:t>
      </w:r>
    </w:p>
    <w:p>
      <w:pPr>
        <w:pStyle w:val="8"/>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sz w:val="32"/>
          <w:szCs w:val="32"/>
          <w:lang w:val="en-US" w:eastAsia="zh-CN"/>
        </w:rPr>
      </w:pPr>
      <w:r>
        <w:rPr>
          <w:rFonts w:hint="eastAsia" w:ascii="仿宋_GB2312" w:hAnsi="仿宋_GB2312" w:eastAsia="仿宋_GB2312" w:cs="仿宋_GB2312"/>
          <w:b/>
          <w:bCs/>
          <w:sz w:val="32"/>
          <w:szCs w:val="32"/>
          <w:lang w:val="en-US" w:eastAsia="zh-CN"/>
        </w:rPr>
        <w:t>二是持之以恒抓好社会安全稳定工作。</w:t>
      </w:r>
      <w:r>
        <w:rPr>
          <w:rFonts w:hint="eastAsia" w:ascii="仿宋_GB2312" w:hAnsi="仿宋_GB2312" w:eastAsia="仿宋_GB2312" w:cs="仿宋_GB2312"/>
          <w:sz w:val="32"/>
          <w:szCs w:val="32"/>
          <w:lang w:val="en-US" w:eastAsia="zh-CN"/>
        </w:rPr>
        <w:t>扎实开展矛盾纠纷排查化解、领导干部接访处访、信访积案化解、安全隐患动态清零等工作，以“六防六促”助推“三零”创建，积极化解各类矛盾纠纷案件9件，加强人民调解与行政调解、司法调解衔接联动，按照“三到位一处理”原则，逐步化解了一批信访积案，依法解决了一批矛盾纠纷和群众诉求。防汛抗旱措施得力，房屋安全排查到位，安全生产强抓不懈，全镇人民生命财产安全防线不断加强。</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（三）巩固拓展脱贫成果同乡村振兴有效衔接工作全面推进。</w:t>
      </w:r>
      <w:r>
        <w:rPr>
          <w:rFonts w:hint="eastAsia" w:ascii="仿宋" w:hAnsi="仿宋" w:eastAsia="仿宋" w:cs="仿宋"/>
          <w:sz w:val="32"/>
          <w:szCs w:val="32"/>
          <w:lang w:val="en-US" w:eastAsia="zh-CN"/>
        </w:rPr>
        <w:t>根据省、市、县决策部署，我乡加大对“三类人员”的排查帮扶工作，对因疫情影响符合纳入监测对象条件的农户，严格标准程序，做到应纳尽纳，同时开展“一对一”帮扶，及时消除返贫致贫风险。坚决防止因疫情返贫致贫，进一步巩固拓展脱贫攻坚成果。</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sz w:val="32"/>
          <w:szCs w:val="32"/>
          <w:lang w:val="en-US" w:eastAsia="zh-CN"/>
        </w:rPr>
      </w:pPr>
      <w:r>
        <w:rPr>
          <w:rFonts w:hint="eastAsia" w:ascii="楷体" w:hAnsi="楷体" w:eastAsia="楷体" w:cs="楷体"/>
          <w:b/>
          <w:bCs/>
          <w:sz w:val="32"/>
          <w:szCs w:val="32"/>
          <w:lang w:val="en-US" w:eastAsia="zh-CN"/>
        </w:rPr>
        <w:t>（四）</w:t>
      </w:r>
      <w:r>
        <w:rPr>
          <w:rFonts w:hint="eastAsia" w:ascii="仿宋" w:hAnsi="仿宋" w:eastAsia="仿宋" w:cs="仿宋"/>
          <w:b/>
          <w:bCs/>
          <w:color w:val="auto"/>
          <w:kern w:val="2"/>
          <w:sz w:val="32"/>
          <w:szCs w:val="32"/>
          <w:lang w:val="en-US" w:eastAsia="zh-CN" w:bidi="ar-SA"/>
        </w:rPr>
        <w:t>进一步加强农业发展。</w:t>
      </w:r>
      <w:r>
        <w:rPr>
          <w:rFonts w:hint="eastAsia" w:ascii="仿宋" w:hAnsi="仿宋" w:eastAsia="仿宋" w:cs="仿宋"/>
          <w:b w:val="0"/>
          <w:bCs/>
          <w:color w:val="000000"/>
          <w:sz w:val="32"/>
          <w:szCs w:val="32"/>
          <w:lang w:val="en-US" w:eastAsia="zh-CN"/>
        </w:rPr>
        <w:t>稳步推进农村土地改革，加快农村土地承包经营权流转，提高土地经济效益，加快挤进高效农业示范园区建设，着力培育种植专业大户、家庭农场、专业合作社等新型农业经营主体，今年以来实现土地流转1000亩以上。其中发展葡萄种植100余亩；西瓜种植600余亩；山药种植400余亩。</w:t>
      </w:r>
    </w:p>
    <w:p>
      <w:pPr>
        <w:spacing w:line="580" w:lineRule="exact"/>
        <w:ind w:firstLine="640" w:firstLineChars="200"/>
        <w:jc w:val="left"/>
        <w:rPr>
          <w:rFonts w:hint="eastAsia" w:ascii="黑体" w:hAnsi="黑体" w:eastAsia="黑体" w:cs="黑体"/>
          <w:b/>
          <w:bCs/>
          <w:kern w:val="2"/>
          <w:sz w:val="32"/>
          <w:szCs w:val="32"/>
          <w:lang w:val="en-US" w:eastAsia="zh-CN" w:bidi="ar-SA"/>
        </w:rPr>
      </w:pPr>
      <w:r>
        <w:rPr>
          <w:rFonts w:hint="eastAsia" w:ascii="仿宋" w:hAnsi="仿宋" w:eastAsia="仿宋" w:cs="仿宋"/>
          <w:sz w:val="32"/>
          <w:szCs w:val="32"/>
          <w:lang w:val="en-US" w:eastAsia="zh-CN"/>
        </w:rPr>
        <w:t>另外，工会、共青团、妇联、教育卫生、人民武装、统计工作、档案管理、巡河等工作也取得了新成绩。</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一年来工作的开展和成绩的取得来之不易，它得益于各级干部和全乡人民的辛勤劳动和创造，凝聚了全乡人民的心血和汗水。在此，我代表中峰乡人民政府，向全乡广大干部群众表示最崇高的敬意和衷心的感谢！</w:t>
      </w:r>
      <w:r>
        <w:rPr>
          <w:rFonts w:hint="eastAsia" w:ascii="黑体" w:hAnsi="黑体" w:eastAsia="黑体" w:cs="黑体"/>
          <w:b/>
          <w:bCs/>
          <w:kern w:val="2"/>
          <w:sz w:val="32"/>
          <w:szCs w:val="32"/>
          <w:lang w:val="en-US" w:eastAsia="zh-CN" w:bidi="ar-SA"/>
        </w:rPr>
        <w:t xml:space="preserve">  </w:t>
      </w:r>
    </w:p>
    <w:p>
      <w:pPr>
        <w:pStyle w:val="7"/>
        <w:widowControl/>
        <w:shd w:val="clear" w:color="auto" w:fill="FFFFFF"/>
        <w:spacing w:beforeAutospacing="0" w:afterAutospacing="0" w:line="600" w:lineRule="exact"/>
        <w:ind w:firstLine="640" w:firstLineChars="200"/>
        <w:jc w:val="both"/>
        <w:rPr>
          <w:rFonts w:hint="default" w:ascii="黑体" w:hAnsi="黑体" w:eastAsia="黑体" w:cs="黑体"/>
          <w:b/>
          <w:bCs/>
          <w:kern w:val="2"/>
          <w:sz w:val="32"/>
          <w:szCs w:val="32"/>
          <w:lang w:val="en-US" w:eastAsia="zh-CN" w:bidi="ar-SA"/>
        </w:rPr>
      </w:pPr>
      <w:r>
        <w:rPr>
          <w:rFonts w:hint="eastAsia" w:ascii="仿宋" w:hAnsi="仿宋" w:eastAsia="仿宋" w:cs="仿宋"/>
          <w:sz w:val="32"/>
          <w:szCs w:val="32"/>
          <w:lang w:val="en-US" w:eastAsia="zh-CN"/>
        </w:rPr>
        <w:t>各位代表</w:t>
      </w:r>
      <w:r>
        <w:rPr>
          <w:rFonts w:hint="eastAsia" w:ascii="仿宋" w:hAnsi="仿宋" w:eastAsia="仿宋" w:cs="仿宋"/>
          <w:sz w:val="32"/>
          <w:szCs w:val="32"/>
        </w:rPr>
        <w:t>，</w:t>
      </w:r>
      <w:r>
        <w:rPr>
          <w:rFonts w:hint="eastAsia" w:ascii="仿宋" w:hAnsi="仿宋" w:eastAsia="仿宋" w:cs="仿宋"/>
          <w:sz w:val="32"/>
          <w:szCs w:val="32"/>
          <w:lang w:val="en-US" w:eastAsia="zh-CN"/>
        </w:rPr>
        <w:t>在肯定成绩的同时，</w:t>
      </w:r>
      <w:r>
        <w:rPr>
          <w:rFonts w:hint="eastAsia" w:ascii="仿宋" w:hAnsi="仿宋" w:eastAsia="仿宋" w:cs="仿宋"/>
          <w:sz w:val="32"/>
          <w:szCs w:val="32"/>
        </w:rPr>
        <w:t>我们还要清醒认识到面临的问题和不足。</w:t>
      </w:r>
      <w:r>
        <w:rPr>
          <w:rFonts w:hint="eastAsia" w:ascii="仿宋" w:hAnsi="仿宋" w:eastAsia="仿宋" w:cs="仿宋"/>
          <w:bCs/>
          <w:sz w:val="32"/>
          <w:szCs w:val="32"/>
        </w:rPr>
        <w:t>一是</w:t>
      </w:r>
      <w:r>
        <w:rPr>
          <w:rFonts w:hint="eastAsia" w:ascii="仿宋" w:hAnsi="仿宋" w:eastAsia="仿宋" w:cs="仿宋"/>
          <w:sz w:val="32"/>
          <w:szCs w:val="32"/>
        </w:rPr>
        <w:t>农业产业升级困难，农业集约化、规模化、产业化水平和农产品商品率仍然较低；</w:t>
      </w:r>
      <w:r>
        <w:rPr>
          <w:rFonts w:hint="eastAsia" w:ascii="仿宋" w:hAnsi="仿宋" w:eastAsia="仿宋" w:cs="仿宋"/>
          <w:bCs/>
          <w:sz w:val="32"/>
          <w:szCs w:val="32"/>
        </w:rPr>
        <w:t>二是</w:t>
      </w:r>
      <w:r>
        <w:rPr>
          <w:rFonts w:hint="eastAsia" w:ascii="仿宋" w:hAnsi="仿宋" w:eastAsia="仿宋" w:cs="仿宋"/>
          <w:sz w:val="32"/>
          <w:szCs w:val="32"/>
        </w:rPr>
        <w:t>招商引资和经济发展的力度要进一步加大，乡财政和村集体经济收入问题亟须解决；</w:t>
      </w:r>
      <w:r>
        <w:rPr>
          <w:rFonts w:hint="eastAsia" w:ascii="仿宋" w:hAnsi="仿宋" w:eastAsia="仿宋" w:cs="仿宋"/>
          <w:bCs/>
          <w:sz w:val="32"/>
          <w:szCs w:val="32"/>
        </w:rPr>
        <w:t>三是</w:t>
      </w:r>
      <w:r>
        <w:rPr>
          <w:rFonts w:hint="eastAsia" w:ascii="仿宋" w:hAnsi="仿宋" w:eastAsia="仿宋" w:cs="仿宋"/>
          <w:sz w:val="32"/>
          <w:szCs w:val="32"/>
        </w:rPr>
        <w:t>农村环境整治工作中存在基础设施不完善、村庄整体布局不合理、乱堆乱放等问题；</w:t>
      </w:r>
      <w:r>
        <w:rPr>
          <w:rFonts w:hint="eastAsia" w:ascii="仿宋" w:hAnsi="仿宋" w:eastAsia="仿宋" w:cs="仿宋"/>
          <w:bCs/>
          <w:sz w:val="32"/>
          <w:szCs w:val="32"/>
        </w:rPr>
        <w:t>四是农村精神文明建设需要进一步加强，个别群众在移风易俗、婚丧嫁娶方面还存有“高价彩礼”、“薄养厚葬”、“大操大办”的严重陋习。五是</w:t>
      </w:r>
      <w:r>
        <w:rPr>
          <w:rFonts w:hint="eastAsia" w:ascii="仿宋" w:hAnsi="仿宋" w:eastAsia="仿宋" w:cs="仿宋"/>
          <w:sz w:val="32"/>
          <w:szCs w:val="32"/>
        </w:rPr>
        <w:t>干部队伍建设抓得不牢，部分乡村干部面对转型发展的压力，迎难而上的勇气不足，创新发展能力不够，少数干部不愿担当、不会作为，缺乏干事创业热情，存在宽、松、软现象。对此，对此，我们将根据实际情况制定相应的切实可行的措施，多管齐下、多措并举、补齐短板、全力以赴，确保问题得以解决。</w:t>
      </w:r>
    </w:p>
    <w:p>
      <w:pPr>
        <w:pStyle w:val="5"/>
        <w:keepNext w:val="0"/>
        <w:keepLines w:val="0"/>
        <w:pageBreakBefore w:val="0"/>
        <w:kinsoku/>
        <w:wordWrap/>
        <w:overflowPunct/>
        <w:topLinePunct w:val="0"/>
        <w:autoSpaceDE/>
        <w:autoSpaceDN/>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w:t>
      </w:r>
      <w:r>
        <w:rPr>
          <w:rFonts w:hint="eastAsia" w:ascii="黑体" w:hAnsi="黑体" w:eastAsia="黑体" w:cs="黑体"/>
          <w:sz w:val="32"/>
          <w:szCs w:val="32"/>
        </w:rPr>
        <w:t>2023 年重点工作</w:t>
      </w:r>
      <w:r>
        <w:rPr>
          <w:rFonts w:hint="eastAsia" w:ascii="黑体" w:hAnsi="黑体" w:eastAsia="黑体" w:cs="黑体"/>
          <w:sz w:val="32"/>
          <w:szCs w:val="32"/>
          <w:lang w:val="en-US" w:eastAsia="zh-CN"/>
        </w:rPr>
        <w:t>安排</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今后的五年，我们的</w:t>
      </w:r>
      <w:r>
        <w:rPr>
          <w:rFonts w:hint="eastAsia" w:ascii="仿宋_GB2312" w:hAnsi="仿宋_GB2312" w:eastAsia="仿宋_GB2312" w:cs="仿宋_GB2312"/>
          <w:color w:val="000000"/>
          <w:sz w:val="32"/>
          <w:szCs w:val="32"/>
        </w:rPr>
        <w:t>工作思路是：以习近平新时代中国特色社会主义思想为指导，</w:t>
      </w:r>
      <w:r>
        <w:rPr>
          <w:rFonts w:hint="eastAsia" w:ascii="仿宋_GB2312" w:hAnsi="仿宋_GB2312" w:eastAsia="仿宋_GB2312" w:cs="仿宋_GB2312"/>
          <w:color w:val="000000"/>
          <w:sz w:val="32"/>
          <w:szCs w:val="32"/>
          <w:lang w:val="en-US" w:eastAsia="zh-CN"/>
        </w:rPr>
        <w:t>以二十大精神为引领，</w:t>
      </w:r>
      <w:r>
        <w:rPr>
          <w:rFonts w:hint="eastAsia" w:ascii="仿宋_GB2312" w:hAnsi="仿宋_GB2312" w:eastAsia="仿宋_GB2312" w:cs="仿宋_GB2312"/>
          <w:color w:val="000000"/>
          <w:sz w:val="32"/>
          <w:szCs w:val="32"/>
        </w:rPr>
        <w:t xml:space="preserve">按照县委县政府各项决策部署，坚持质量第一、效益优先原则，统筹推进新冠肺炎疫情防控和经济社会发展，确保全乡经济社会文化生态建设迈上新台阶。 </w:t>
      </w:r>
    </w:p>
    <w:p>
      <w:pPr>
        <w:spacing w:line="520"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color w:val="000000"/>
          <w:sz w:val="32"/>
          <w:szCs w:val="32"/>
        </w:rPr>
        <w:t>主要奋斗目标是：确保财税总收入</w:t>
      </w:r>
      <w:r>
        <w:rPr>
          <w:rFonts w:hint="eastAsia" w:ascii="仿宋_GB2312" w:hAnsi="仿宋_GB2312" w:eastAsia="仿宋_GB2312" w:cs="仿宋_GB2312"/>
          <w:color w:val="000000"/>
          <w:sz w:val="32"/>
          <w:szCs w:val="32"/>
          <w:lang w:val="en-US" w:eastAsia="zh-CN"/>
        </w:rPr>
        <w:t>年均增长12%，</w:t>
      </w:r>
      <w:r>
        <w:rPr>
          <w:rFonts w:hint="eastAsia" w:ascii="仿宋_GB2312" w:hAnsi="仿宋_GB2312" w:eastAsia="仿宋_GB2312" w:cs="仿宋_GB2312"/>
          <w:color w:val="000000"/>
          <w:sz w:val="32"/>
          <w:szCs w:val="32"/>
        </w:rPr>
        <w:t>农民人均</w:t>
      </w:r>
      <w:r>
        <w:rPr>
          <w:rFonts w:hint="eastAsia" w:ascii="仿宋_GB2312" w:hAnsi="仿宋_GB2312" w:eastAsia="仿宋_GB2312" w:cs="仿宋_GB2312"/>
          <w:color w:val="000000"/>
          <w:sz w:val="32"/>
          <w:szCs w:val="32"/>
          <w:lang w:val="en-US" w:eastAsia="zh-CN"/>
        </w:rPr>
        <w:t>可支配</w:t>
      </w:r>
      <w:r>
        <w:rPr>
          <w:rFonts w:hint="eastAsia" w:ascii="仿宋_GB2312" w:hAnsi="仿宋_GB2312" w:eastAsia="仿宋_GB2312" w:cs="仿宋_GB2312"/>
          <w:color w:val="000000"/>
          <w:sz w:val="32"/>
          <w:szCs w:val="32"/>
        </w:rPr>
        <w:t>收入</w:t>
      </w:r>
      <w:r>
        <w:rPr>
          <w:rFonts w:hint="eastAsia" w:ascii="仿宋_GB2312" w:hAnsi="仿宋_GB2312" w:eastAsia="仿宋_GB2312" w:cs="仿宋_GB2312"/>
          <w:color w:val="000000"/>
          <w:sz w:val="32"/>
          <w:szCs w:val="32"/>
          <w:lang w:val="en-US" w:eastAsia="zh-CN"/>
        </w:rPr>
        <w:t>年均</w:t>
      </w:r>
      <w:r>
        <w:rPr>
          <w:rFonts w:hint="eastAsia" w:ascii="仿宋_GB2312" w:hAnsi="仿宋_GB2312" w:eastAsia="仿宋_GB2312" w:cs="仿宋_GB2312"/>
          <w:color w:val="000000"/>
          <w:sz w:val="32"/>
          <w:szCs w:val="32"/>
        </w:rPr>
        <w:t>增长</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主要</w:t>
      </w:r>
      <w:r>
        <w:rPr>
          <w:rFonts w:hint="eastAsia" w:ascii="仿宋_GB2312" w:hAnsi="仿宋_GB2312" w:eastAsia="仿宋_GB2312" w:cs="仿宋_GB2312"/>
          <w:color w:val="000000"/>
          <w:sz w:val="32"/>
          <w:szCs w:val="32"/>
        </w:rPr>
        <w:t>突出抓好以下</w:t>
      </w:r>
      <w:r>
        <w:rPr>
          <w:rFonts w:hint="eastAsia" w:ascii="仿宋_GB2312" w:hAnsi="仿宋_GB2312" w:eastAsia="仿宋_GB2312" w:cs="仿宋_GB2312"/>
          <w:color w:val="000000"/>
          <w:sz w:val="32"/>
          <w:szCs w:val="32"/>
          <w:lang w:val="en-US" w:eastAsia="zh-CN"/>
        </w:rPr>
        <w:t>几</w:t>
      </w:r>
      <w:r>
        <w:rPr>
          <w:rFonts w:hint="eastAsia" w:ascii="仿宋_GB2312" w:hAnsi="仿宋_GB2312" w:eastAsia="仿宋_GB2312" w:cs="仿宋_GB2312"/>
          <w:color w:val="000000"/>
          <w:sz w:val="32"/>
          <w:szCs w:val="32"/>
        </w:rPr>
        <w:t>个方面工作：</w:t>
      </w:r>
    </w:p>
    <w:p>
      <w:pPr>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一</w:t>
      </w:r>
      <w:r>
        <w:rPr>
          <w:rFonts w:hint="eastAsia" w:ascii="楷体" w:hAnsi="楷体" w:eastAsia="楷体" w:cs="楷体"/>
          <w:b/>
          <w:sz w:val="32"/>
          <w:szCs w:val="32"/>
        </w:rPr>
        <w:t>）</w:t>
      </w:r>
      <w:r>
        <w:rPr>
          <w:rFonts w:hint="eastAsia" w:ascii="楷体" w:hAnsi="楷体" w:eastAsia="楷体" w:cs="楷体"/>
          <w:b/>
          <w:sz w:val="32"/>
          <w:szCs w:val="32"/>
          <w:lang w:val="en-US" w:eastAsia="zh-CN"/>
        </w:rPr>
        <w:t>积极推进</w:t>
      </w:r>
      <w:r>
        <w:rPr>
          <w:rStyle w:val="14"/>
          <w:rFonts w:hint="eastAsia" w:ascii="楷体" w:hAnsi="楷体" w:eastAsia="楷体" w:cs="楷体"/>
          <w:b/>
          <w:bCs/>
          <w:color w:val="auto"/>
          <w:spacing w:val="0"/>
          <w:sz w:val="32"/>
          <w:szCs w:val="32"/>
          <w:lang w:val="en-US" w:eastAsia="zh-CN"/>
        </w:rPr>
        <w:t>城乡</w:t>
      </w:r>
      <w:r>
        <w:rPr>
          <w:rStyle w:val="14"/>
          <w:rFonts w:hint="eastAsia" w:ascii="楷体" w:hAnsi="楷体" w:eastAsia="楷体" w:cs="楷体"/>
          <w:b/>
          <w:bCs/>
          <w:color w:val="auto"/>
          <w:spacing w:val="0"/>
          <w:sz w:val="32"/>
          <w:szCs w:val="32"/>
          <w:lang w:eastAsia="zh-CN"/>
        </w:rPr>
        <w:t>建设</w:t>
      </w:r>
      <w:r>
        <w:rPr>
          <w:rStyle w:val="14"/>
          <w:rFonts w:hint="eastAsia" w:ascii="楷体" w:hAnsi="楷体" w:eastAsia="楷体" w:cs="楷体"/>
          <w:b/>
          <w:bCs/>
          <w:color w:val="auto"/>
          <w:spacing w:val="0"/>
          <w:sz w:val="32"/>
          <w:szCs w:val="32"/>
        </w:rPr>
        <w:t>品质提升</w:t>
      </w:r>
      <w:r>
        <w:rPr>
          <w:rFonts w:hint="eastAsia" w:ascii="楷体" w:hAnsi="楷体" w:eastAsia="楷体" w:cs="楷体"/>
          <w:b/>
          <w:sz w:val="32"/>
          <w:szCs w:val="32"/>
          <w:lang w:val="en-US" w:eastAsia="zh-CN"/>
        </w:rPr>
        <w:t>工程</w:t>
      </w:r>
      <w:r>
        <w:rPr>
          <w:rFonts w:hint="eastAsia" w:ascii="楷体" w:hAnsi="楷体" w:eastAsia="楷体" w:cs="楷体"/>
          <w:b/>
          <w:sz w:val="32"/>
          <w:szCs w:val="32"/>
          <w:lang w:eastAsia="zh-CN"/>
        </w:rPr>
        <w:t>，</w:t>
      </w:r>
      <w:r>
        <w:rPr>
          <w:rFonts w:hint="eastAsia" w:ascii="楷体" w:hAnsi="楷体" w:eastAsia="楷体" w:cs="楷体"/>
          <w:b/>
          <w:bCs/>
          <w:sz w:val="32"/>
          <w:szCs w:val="32"/>
        </w:rPr>
        <w:t>大力实施乡村振兴战略</w:t>
      </w:r>
      <w:r>
        <w:rPr>
          <w:rFonts w:hint="eastAsia" w:ascii="楷体" w:hAnsi="楷体" w:eastAsia="楷体" w:cs="楷体"/>
          <w:b/>
          <w:bCs/>
          <w:sz w:val="32"/>
          <w:szCs w:val="32"/>
          <w:lang w:eastAsia="zh-CN"/>
        </w:rPr>
        <w:t>。</w:t>
      </w:r>
      <w:r>
        <w:rPr>
          <w:rFonts w:hint="eastAsia" w:ascii="楷体" w:hAnsi="楷体" w:eastAsia="楷体" w:cs="楷体"/>
          <w:b/>
          <w:bCs/>
          <w:sz w:val="32"/>
          <w:szCs w:val="32"/>
        </w:rPr>
        <w:t xml:space="preserve"> </w:t>
      </w:r>
    </w:p>
    <w:p>
      <w:pPr>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rPr>
        <w:t>以实施乡村振兴战略为总抓手，按照产业兴旺、生态宜居、乡风文明、治理有效、生活富裕的要求，抓重点、提质量、增动能、强基础，</w:t>
      </w:r>
      <w:r>
        <w:rPr>
          <w:rFonts w:hint="eastAsia" w:ascii="仿宋" w:hAnsi="仿宋" w:eastAsia="仿宋" w:cs="仿宋"/>
          <w:sz w:val="32"/>
          <w:szCs w:val="32"/>
          <w:lang w:val="en-US" w:eastAsia="zh-CN"/>
        </w:rPr>
        <w:t>整治人居环境，依托现有基础，积极设计规划，把</w:t>
      </w:r>
      <w:r>
        <w:rPr>
          <w:rFonts w:hint="eastAsia" w:ascii="仿宋" w:hAnsi="仿宋" w:eastAsia="仿宋" w:cs="仿宋"/>
          <w:b/>
          <w:bCs/>
          <w:sz w:val="32"/>
          <w:szCs w:val="32"/>
          <w:lang w:val="en-US" w:eastAsia="zh-CN"/>
        </w:rPr>
        <w:t>吴楼村、刘楼村、何关庄村、韩寨村</w:t>
      </w:r>
      <w:r>
        <w:rPr>
          <w:rFonts w:hint="eastAsia" w:ascii="仿宋" w:hAnsi="仿宋" w:eastAsia="仿宋" w:cs="仿宋"/>
          <w:sz w:val="32"/>
          <w:szCs w:val="32"/>
          <w:lang w:val="en-US" w:eastAsia="zh-CN"/>
        </w:rPr>
        <w:t>打造为我乡美丽乡村精品示范村。</w:t>
      </w:r>
      <w:r>
        <w:rPr>
          <w:rStyle w:val="14"/>
          <w:rFonts w:hint="eastAsia" w:ascii="仿宋" w:hAnsi="仿宋" w:eastAsia="仿宋" w:cs="仿宋"/>
          <w:b/>
          <w:bCs/>
          <w:color w:val="auto"/>
          <w:spacing w:val="0"/>
          <w:sz w:val="32"/>
          <w:szCs w:val="32"/>
          <w:lang w:val="en-US" w:eastAsia="zh-CN"/>
        </w:rPr>
        <w:t>二是</w:t>
      </w:r>
      <w:r>
        <w:rPr>
          <w:rFonts w:hint="eastAsia" w:ascii="仿宋" w:hAnsi="仿宋" w:eastAsia="仿宋" w:cs="仿宋"/>
          <w:color w:val="auto"/>
          <w:spacing w:val="0"/>
          <w:sz w:val="32"/>
          <w:szCs w:val="32"/>
          <w:lang w:val="en-US" w:eastAsia="zh-CN"/>
        </w:rPr>
        <w:t>编制镇区控制性详细规划，同时计划投资一千万元，重新规划中峰老街并完成道路和配套设施的建设，打造精品镇区。</w:t>
      </w:r>
      <w:r>
        <w:rPr>
          <w:rFonts w:hint="eastAsia" w:ascii="仿宋" w:hAnsi="仿宋" w:eastAsia="仿宋" w:cs="仿宋"/>
          <w:b/>
          <w:bCs/>
          <w:color w:val="auto"/>
          <w:spacing w:val="0"/>
          <w:sz w:val="32"/>
          <w:szCs w:val="32"/>
          <w:lang w:val="en-US" w:eastAsia="zh-CN"/>
        </w:rPr>
        <w:t>三是</w:t>
      </w:r>
      <w:r>
        <w:rPr>
          <w:rFonts w:hint="eastAsia" w:ascii="仿宋" w:hAnsi="仿宋" w:eastAsia="仿宋" w:cs="仿宋"/>
          <w:color w:val="auto"/>
          <w:spacing w:val="0"/>
          <w:sz w:val="32"/>
          <w:szCs w:val="32"/>
          <w:lang w:val="en-US" w:eastAsia="zh-CN"/>
        </w:rPr>
        <w:t>计划投资400万元，加紧推进东良加油站往西途径冯楼村、刘古同村、胡庄村，联通虞城的2乡道的拓宽改造工程。</w:t>
      </w:r>
      <w:r>
        <w:rPr>
          <w:rFonts w:hint="eastAsia" w:ascii="仿宋" w:hAnsi="仿宋" w:eastAsia="仿宋" w:cs="仿宋"/>
          <w:b/>
          <w:bCs/>
          <w:color w:val="auto"/>
          <w:spacing w:val="0"/>
          <w:sz w:val="32"/>
          <w:szCs w:val="32"/>
          <w:lang w:val="en-US" w:eastAsia="zh-CN"/>
        </w:rPr>
        <w:t>四是</w:t>
      </w:r>
      <w:r>
        <w:rPr>
          <w:rFonts w:hint="eastAsia" w:ascii="仿宋" w:hAnsi="仿宋" w:eastAsia="仿宋" w:cs="仿宋"/>
          <w:color w:val="auto"/>
          <w:spacing w:val="0"/>
          <w:sz w:val="32"/>
          <w:szCs w:val="32"/>
          <w:lang w:val="en-US" w:eastAsia="zh-CN"/>
        </w:rPr>
        <w:t>投资100万元在骆通路与中峰去马头乡道交叉口高标准规划建设垃圾中转站，并开工建设廉政文化绿化广场。</w:t>
      </w:r>
      <w:r>
        <w:rPr>
          <w:rFonts w:hint="eastAsia" w:ascii="仿宋" w:hAnsi="仿宋" w:eastAsia="仿宋" w:cs="仿宋"/>
          <w:b/>
          <w:bCs/>
          <w:color w:val="auto"/>
          <w:spacing w:val="0"/>
          <w:sz w:val="32"/>
          <w:szCs w:val="32"/>
          <w:lang w:val="en-US" w:eastAsia="zh-CN"/>
        </w:rPr>
        <w:t>五是</w:t>
      </w:r>
      <w:r>
        <w:rPr>
          <w:rFonts w:hint="eastAsia" w:ascii="仿宋" w:hAnsi="仿宋" w:eastAsia="仿宋" w:cs="仿宋"/>
          <w:color w:val="auto"/>
          <w:spacing w:val="0"/>
          <w:sz w:val="32"/>
          <w:szCs w:val="32"/>
          <w:lang w:val="en-US" w:eastAsia="zh-CN"/>
        </w:rPr>
        <w:t>投资200万元新修2公里加气站向西经沈楼联通前秦楼的柏油马路。</w:t>
      </w:r>
      <w:r>
        <w:rPr>
          <w:rFonts w:hint="eastAsia" w:ascii="仿宋" w:hAnsi="仿宋" w:eastAsia="仿宋" w:cs="仿宋"/>
          <w:b/>
          <w:bCs/>
          <w:color w:val="auto"/>
          <w:spacing w:val="0"/>
          <w:sz w:val="32"/>
          <w:szCs w:val="32"/>
          <w:lang w:val="en-US" w:eastAsia="zh-CN"/>
        </w:rPr>
        <w:t>六是</w:t>
      </w:r>
      <w:r>
        <w:rPr>
          <w:rFonts w:hint="eastAsia" w:ascii="仿宋" w:hAnsi="仿宋" w:eastAsia="仿宋" w:cs="仿宋"/>
          <w:b w:val="0"/>
          <w:bCs w:val="0"/>
          <w:color w:val="auto"/>
          <w:spacing w:val="0"/>
          <w:sz w:val="32"/>
          <w:szCs w:val="32"/>
          <w:lang w:val="en-US" w:eastAsia="zh-CN"/>
        </w:rPr>
        <w:t>投资二百万元实施中峰到马头道路提升工程</w:t>
      </w:r>
      <w:r>
        <w:rPr>
          <w:rFonts w:hint="eastAsia" w:ascii="仿宋" w:hAnsi="仿宋" w:eastAsia="仿宋" w:cs="仿宋"/>
          <w:color w:val="auto"/>
          <w:spacing w:val="0"/>
          <w:sz w:val="32"/>
          <w:szCs w:val="32"/>
          <w:lang w:val="en-US" w:eastAsia="zh-CN"/>
        </w:rPr>
        <w:t>。</w:t>
      </w:r>
    </w:p>
    <w:p>
      <w:pPr>
        <w:pStyle w:val="5"/>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（二）继续做好土地综合整治工作，保持全县先进名次，为我县招商引资工作提供坚强土地要素保障。</w:t>
      </w:r>
    </w:p>
    <w:p>
      <w:pPr>
        <w:spacing w:line="360" w:lineRule="auto"/>
        <w:ind w:firstLine="643" w:firstLineChars="200"/>
        <w:jc w:val="left"/>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（三）强化农业的基础地位，持续扩大特色种植产业。依托中峰优质沙地资源，大力发展红薯种植和深加工产业，进一步加大农业支持保护力度。</w:t>
      </w:r>
      <w:r>
        <w:rPr>
          <w:rFonts w:hint="eastAsia" w:ascii="仿宋" w:hAnsi="仿宋" w:eastAsia="仿宋" w:cs="仿宋"/>
          <w:kern w:val="2"/>
          <w:sz w:val="32"/>
          <w:szCs w:val="32"/>
          <w:lang w:val="en-US" w:eastAsia="zh-CN" w:bidi="ar-SA"/>
        </w:rPr>
        <w:t>加</w:t>
      </w:r>
      <w:r>
        <w:rPr>
          <w:rFonts w:hint="eastAsia" w:ascii="仿宋_GB2312" w:hAnsi="仿宋_GB2312" w:eastAsia="仿宋_GB2312" w:cs="仿宋_GB2312"/>
          <w:sz w:val="32"/>
          <w:szCs w:val="32"/>
        </w:rPr>
        <w:t>强农业基础设施建设，优化产业结构，合理规划布局，为经济平稳较快发展和社会和谐稳定提供有力支撑。</w:t>
      </w:r>
    </w:p>
    <w:p>
      <w:pPr>
        <w:ind w:firstLine="643" w:firstLineChars="200"/>
        <w:jc w:val="left"/>
        <w:rPr>
          <w:rStyle w:val="14"/>
          <w:rFonts w:hint="eastAsia" w:ascii="楷体" w:hAnsi="楷体" w:eastAsia="楷体" w:cs="楷体"/>
          <w:b/>
          <w:bCs/>
          <w:color w:val="auto"/>
          <w:spacing w:val="0"/>
          <w:sz w:val="32"/>
          <w:szCs w:val="32"/>
          <w:lang w:eastAsia="zh-CN"/>
        </w:rPr>
      </w:pPr>
      <w:r>
        <w:rPr>
          <w:rStyle w:val="14"/>
          <w:rFonts w:hint="eastAsia" w:ascii="楷体" w:hAnsi="楷体" w:eastAsia="楷体" w:cs="楷体"/>
          <w:b/>
          <w:bCs/>
          <w:color w:val="auto"/>
          <w:spacing w:val="0"/>
          <w:sz w:val="32"/>
          <w:szCs w:val="32"/>
          <w:lang w:eastAsia="zh-CN"/>
        </w:rPr>
        <w:t>（</w:t>
      </w:r>
      <w:r>
        <w:rPr>
          <w:rStyle w:val="14"/>
          <w:rFonts w:hint="eastAsia" w:ascii="楷体" w:hAnsi="楷体" w:eastAsia="楷体" w:cs="楷体"/>
          <w:b/>
          <w:bCs/>
          <w:color w:val="auto"/>
          <w:spacing w:val="0"/>
          <w:sz w:val="32"/>
          <w:szCs w:val="32"/>
          <w:lang w:val="en-US" w:eastAsia="zh-CN"/>
        </w:rPr>
        <w:t>四</w:t>
      </w:r>
      <w:r>
        <w:rPr>
          <w:rStyle w:val="14"/>
          <w:rFonts w:hint="eastAsia" w:ascii="楷体" w:hAnsi="楷体" w:eastAsia="楷体" w:cs="楷体"/>
          <w:b/>
          <w:bCs/>
          <w:color w:val="auto"/>
          <w:spacing w:val="0"/>
          <w:sz w:val="32"/>
          <w:szCs w:val="32"/>
          <w:lang w:eastAsia="zh-CN"/>
        </w:rPr>
        <w:t>）坚持提质增效，持续推进产业转型升级</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一是全力抓好招商引资。</w:t>
      </w:r>
      <w:r>
        <w:rPr>
          <w:rFonts w:hint="eastAsia" w:ascii="仿宋_GB2312" w:hAnsi="仿宋_GB2312" w:eastAsia="仿宋_GB2312" w:cs="仿宋_GB2312"/>
          <w:sz w:val="32"/>
          <w:szCs w:val="32"/>
        </w:rPr>
        <w:t>继续按照</w:t>
      </w:r>
      <w:r>
        <w:rPr>
          <w:rFonts w:hint="eastAsia" w:ascii="仿宋_GB2312" w:hAnsi="仿宋_GB2312" w:eastAsia="仿宋_GB2312" w:cs="仿宋_GB2312"/>
          <w:sz w:val="32"/>
          <w:szCs w:val="32"/>
          <w:lang w:eastAsia="zh-CN"/>
        </w:rPr>
        <w:t>县委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县政府</w:t>
      </w:r>
      <w:r>
        <w:rPr>
          <w:rFonts w:hint="eastAsia" w:ascii="仿宋_GB2312" w:hAnsi="仿宋_GB2312" w:eastAsia="仿宋_GB2312" w:cs="仿宋_GB2312"/>
          <w:sz w:val="32"/>
          <w:szCs w:val="32"/>
        </w:rPr>
        <w:t>的工作要求，完善基础设施建设，优化工业发展环境，加强投资软环境建设，做好招商引资基础工作。</w:t>
      </w:r>
      <w:r>
        <w:rPr>
          <w:rFonts w:hint="eastAsia" w:ascii="仿宋" w:hAnsi="仿宋" w:eastAsia="仿宋" w:cs="仿宋"/>
          <w:sz w:val="32"/>
          <w:szCs w:val="32"/>
          <w:lang w:val="en-US" w:eastAsia="zh-CN"/>
        </w:rPr>
        <w:t>开展招商引资，落实倍增计划。围绕“回归经济”发展，进一步解放思想、凝聚共识、积极与意向企业洽谈，力争已招引企业早日投产。</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二是加快工业园区基础设施建设。</w:t>
      </w:r>
      <w:r>
        <w:rPr>
          <w:rFonts w:hint="eastAsia" w:ascii="仿宋" w:hAnsi="仿宋" w:eastAsia="仿宋" w:cs="仿宋"/>
          <w:sz w:val="32"/>
          <w:szCs w:val="32"/>
          <w:lang w:val="en-US" w:eastAsia="zh-CN"/>
        </w:rPr>
        <w:t>积极推动百亩电商产业园项目建设。围绕木业、家纺、空调软管重点产业，100亩回归经济创业园争取在明年动工，年中完工并入住一批企业，预计总引资额10亿元。</w:t>
      </w:r>
      <w:r>
        <w:rPr>
          <w:rFonts w:hint="eastAsia" w:ascii="仿宋_GB2312" w:hAnsi="仿宋_GB2312" w:eastAsia="仿宋_GB2312" w:cs="仿宋_GB2312"/>
          <w:sz w:val="32"/>
          <w:szCs w:val="32"/>
        </w:rPr>
        <w:t>打造具有村级集体经济示范带动作用的小微产业园。聚集区集生产、加工、网络营销为一体，以规范化管理和规模化种植的形式，全面提高种植效益，集中优势资源和技术力量，进行市场化经营，壮大集体经济，增加农民收入。</w:t>
      </w:r>
    </w:p>
    <w:p>
      <w:pPr>
        <w:ind w:firstLine="643" w:firstLineChars="200"/>
        <w:rPr>
          <w:rFonts w:hint="eastAsia"/>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bCs/>
          <w:sz w:val="32"/>
          <w:szCs w:val="32"/>
        </w:rPr>
        <w:t>大力促进互联网、人工智能等信息技术在传统行业的深入应用，加快培育新模式、新业态，让新经济“无中生有”</w:t>
      </w:r>
      <w:r>
        <w:rPr>
          <w:rFonts w:hint="eastAsia" w:ascii="仿宋_GB2312" w:hAnsi="仿宋_GB2312" w:eastAsia="仿宋_GB2312" w:cs="仿宋_GB2312"/>
          <w:b/>
          <w:bCs/>
          <w:sz w:val="32"/>
          <w:szCs w:val="32"/>
          <w:lang w:eastAsia="zh-CN"/>
        </w:rPr>
        <w:t>，加快电商平台运用</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强化企业创新主体地位，加快建立以企业为主体、市场为导向、产学研深度融合的技术创新体系，提升企业创新力。</w:t>
      </w:r>
    </w:p>
    <w:p>
      <w:pPr>
        <w:pStyle w:val="2"/>
        <w:ind w:firstLine="643" w:firstLineChars="200"/>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（五）党建引领，充分发挥组织保障</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按照新时代党的建设总要求和</w:t>
      </w:r>
      <w:r>
        <w:rPr>
          <w:rFonts w:hint="eastAsia" w:ascii="仿宋_GB2312" w:hAnsi="仿宋_GB2312" w:eastAsia="仿宋_GB2312" w:cs="仿宋_GB2312"/>
          <w:sz w:val="32"/>
          <w:szCs w:val="32"/>
          <w:lang w:eastAsia="zh-CN"/>
        </w:rPr>
        <w:t>县委</w:t>
      </w:r>
      <w:r>
        <w:rPr>
          <w:rFonts w:hint="eastAsia" w:ascii="仿宋_GB2312" w:hAnsi="仿宋_GB2312" w:eastAsia="仿宋_GB2312" w:cs="仿宋_GB2312"/>
          <w:sz w:val="32"/>
          <w:szCs w:val="32"/>
        </w:rPr>
        <w:t>关于基层党建工作部署，以“党建+”为引领，以提升组织力为重点，突出政治功能，坚持问题导向，抓住关键环节，持续用力推进，努力提高基层党建质量，</w:t>
      </w:r>
      <w:r>
        <w:rPr>
          <w:rFonts w:hint="eastAsia" w:ascii="仿宋" w:hAnsi="仿宋" w:eastAsia="仿宋" w:cs="仿宋"/>
          <w:sz w:val="32"/>
          <w:szCs w:val="32"/>
          <w:lang w:val="en-US" w:eastAsia="zh-CN"/>
        </w:rPr>
        <w:t>扎实推进五星支部创建工作。按照创建目标，以能力作风建设攻坚为契机，积极行动、精准施策、统筹规划，高质量完成创建任务，不断</w:t>
      </w:r>
      <w:r>
        <w:rPr>
          <w:rFonts w:hint="eastAsia" w:ascii="仿宋" w:hAnsi="仿宋" w:eastAsia="仿宋" w:cs="微软雅黑"/>
          <w:spacing w:val="8"/>
          <w:sz w:val="32"/>
          <w:szCs w:val="32"/>
          <w:shd w:val="clear" w:color="auto" w:fill="FFFFFF"/>
        </w:rPr>
        <w:t>提升乡村治理能力，</w:t>
      </w:r>
      <w:r>
        <w:rPr>
          <w:rFonts w:hint="eastAsia" w:ascii="仿宋" w:hAnsi="仿宋" w:eastAsia="仿宋" w:cs="仿宋"/>
          <w:sz w:val="32"/>
          <w:szCs w:val="32"/>
          <w:shd w:val="clear" w:color="auto" w:fill="FFFFFF"/>
        </w:rPr>
        <w:t>激活乡村振兴“红色引擎”</w:t>
      </w:r>
      <w:r>
        <w:rPr>
          <w:rFonts w:hint="eastAsia" w:ascii="仿宋" w:hAnsi="仿宋" w:eastAsia="仿宋" w:cs="仿宋"/>
          <w:sz w:val="32"/>
          <w:szCs w:val="32"/>
          <w:shd w:val="clear" w:color="auto" w:fill="FFFFFF"/>
          <w:lang w:eastAsia="zh-CN"/>
        </w:rPr>
        <w:t>，</w:t>
      </w:r>
      <w:r>
        <w:rPr>
          <w:rFonts w:hint="eastAsia" w:ascii="仿宋" w:hAnsi="仿宋" w:eastAsia="仿宋" w:cs="微软雅黑"/>
          <w:spacing w:val="8"/>
          <w:sz w:val="32"/>
          <w:szCs w:val="32"/>
          <w:shd w:val="clear" w:color="auto" w:fill="FFFFFF"/>
        </w:rPr>
        <w:t>推进农业农村现代化</w:t>
      </w:r>
      <w:r>
        <w:rPr>
          <w:rFonts w:hint="eastAsia" w:ascii="仿宋" w:hAnsi="仿宋" w:eastAsia="仿宋" w:cs="微软雅黑"/>
          <w:spacing w:val="8"/>
          <w:sz w:val="32"/>
          <w:szCs w:val="32"/>
          <w:shd w:val="clear" w:color="auto" w:fill="FFFFFF"/>
          <w:lang w:eastAsia="zh-CN"/>
        </w:rPr>
        <w:t>。</w:t>
      </w:r>
    </w:p>
    <w:p>
      <w:pPr>
        <w:pStyle w:val="2"/>
        <w:ind w:firstLine="643" w:firstLineChars="200"/>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（六）强化服务职能，建设廉洁高效政府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坚决执行中央“八项规定”，厉行勤俭节约，反对铺张浪费，严控“三公”经费支出，努力降低行政运行成本。全面落实党风廉政建设责任制，严格执行廉洁从政各项规定，坚决纠正不正之风，严厉查处各类违法违纪案件。坚持依宪施政，依法行政，完善重大事项集体决策、协商听证、社会公示制度，推进决策科学化、民主化、法制化。加强对项目资金使用的监督管理，对存在违反法律法规和财经纪律的行为严肃处理。</w:t>
      </w:r>
    </w:p>
    <w:p>
      <w:pPr>
        <w:widowControl/>
        <w:shd w:val="clear" w:color="auto" w:fill="FFFFFF"/>
        <w:spacing w:line="600" w:lineRule="exact"/>
        <w:ind w:firstLine="624" w:firstLineChars="195"/>
        <w:textAlignment w:val="baseline"/>
        <w:rPr>
          <w:rFonts w:cs="仿宋" w:asciiTheme="minorEastAsia" w:hAnsiTheme="minorEastAsia"/>
          <w:sz w:val="32"/>
          <w:szCs w:val="32"/>
        </w:rPr>
      </w:pPr>
      <w:r>
        <w:rPr>
          <w:rFonts w:hint="eastAsia" w:ascii="仿宋_GB2312" w:eastAsia="仿宋_GB2312"/>
          <w:sz w:val="32"/>
          <w:szCs w:val="32"/>
        </w:rPr>
        <w:t>各位代表，回顾过去，我们豪情满怀；展望未来，我们信心百倍。新形势赋予我们新的使命，新任务带给我们新的挑战。让我们紧密团结在以习近平同志为总书记的党中央周围，在夏邑县委和乡党委的坚强领导下，团结一心，奋发有为，为推进我乡经济社会更好更快发展，为构建和谐平安</w:t>
      </w:r>
      <w:r>
        <w:rPr>
          <w:rFonts w:hint="eastAsia" w:ascii="仿宋_GB2312" w:eastAsia="仿宋_GB2312"/>
          <w:sz w:val="32"/>
          <w:szCs w:val="32"/>
          <w:lang w:val="en-US" w:eastAsia="zh-CN"/>
        </w:rPr>
        <w:t>中峰</w:t>
      </w:r>
      <w:r>
        <w:rPr>
          <w:rFonts w:hint="eastAsia" w:ascii="仿宋_GB2312" w:eastAsia="仿宋_GB2312"/>
          <w:sz w:val="32"/>
          <w:szCs w:val="32"/>
        </w:rPr>
        <w:t>作出新的更大的贡献！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文星黑体">
    <w:altName w:val="黑体"/>
    <w:panose1 w:val="02010604000101010101"/>
    <w:charset w:val="86"/>
    <w:family w:val="auto"/>
    <w:pitch w:val="default"/>
    <w:sig w:usb0="00000000" w:usb1="00000000" w:usb2="00000000"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文星楷体">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3AEDD"/>
    <w:multiLevelType w:val="singleLevel"/>
    <w:tmpl w:val="5283AE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jljNjI0Y2ZmOTFhNDA3OWNjNDExZDVmZmYxOGQifQ=="/>
  </w:docVars>
  <w:rsids>
    <w:rsidRoot w:val="742C0FD8"/>
    <w:rsid w:val="0AB02C2F"/>
    <w:rsid w:val="4D775F60"/>
    <w:rsid w:val="55601B64"/>
    <w:rsid w:val="69070D90"/>
    <w:rsid w:val="742C0FD8"/>
    <w:rsid w:val="788E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link w:val="14"/>
    <w:autoRedefine/>
    <w:unhideWhenUsed/>
    <w:qFormat/>
    <w:uiPriority w:val="0"/>
    <w:pPr>
      <w:keepNext/>
      <w:keepLines/>
      <w:spacing w:beforeLines="0" w:beforeAutospacing="0" w:afterLines="0" w:afterAutospacing="0" w:line="600" w:lineRule="exact"/>
      <w:ind w:firstLine="0" w:firstLineChars="0"/>
      <w:outlineLvl w:val="2"/>
    </w:pPr>
    <w:rPr>
      <w:rFonts w:ascii="Calibri" w:hAnsi="Calibri" w:eastAsia="楷体_GB2312"/>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Normal Indent"/>
    <w:basedOn w:val="1"/>
    <w:qFormat/>
    <w:uiPriority w:val="99"/>
    <w:pPr>
      <w:ind w:firstLine="420" w:firstLineChars="200"/>
    </w:pPr>
  </w:style>
  <w:style w:type="paragraph" w:styleId="5">
    <w:name w:val="Balloon Text"/>
    <w:basedOn w:val="1"/>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Body Text First Indent"/>
    <w:basedOn w:val="2"/>
    <w:next w:val="1"/>
    <w:qFormat/>
    <w:uiPriority w:val="0"/>
    <w:pPr>
      <w:ind w:firstLine="420" w:firstLineChars="100"/>
    </w:pPr>
    <w:rPr>
      <w:rFonts w:ascii="黑体" w:eastAsia="黑体"/>
      <w:sz w:val="36"/>
      <w:szCs w:val="36"/>
    </w:rPr>
  </w:style>
  <w:style w:type="paragraph" w:styleId="9">
    <w:name w:val="Body Text First Indent 2"/>
    <w:autoRedefine/>
    <w:qFormat/>
    <w:uiPriority w:val="0"/>
    <w:pPr>
      <w:adjustRightInd w:val="0"/>
      <w:snapToGrid w:val="0"/>
      <w:spacing w:line="560" w:lineRule="exact"/>
      <w:ind w:firstLine="420" w:firstLineChars="200"/>
    </w:pPr>
    <w:rPr>
      <w:rFonts w:ascii="仿宋_GB2312" w:hAnsi="Tahoma" w:eastAsia="仿宋_GB2312" w:cstheme="minorBidi"/>
      <w:sz w:val="32"/>
      <w:szCs w:val="22"/>
      <w:lang w:val="en-US" w:eastAsia="zh-CN" w:bidi="ar-SA"/>
    </w:rPr>
  </w:style>
  <w:style w:type="character" w:styleId="12">
    <w:name w:val="Strong"/>
    <w:basedOn w:val="11"/>
    <w:autoRedefine/>
    <w:qFormat/>
    <w:uiPriority w:val="0"/>
    <w:rPr>
      <w:b/>
    </w:rPr>
  </w:style>
  <w:style w:type="paragraph" w:customStyle="1" w:styleId="13">
    <w:name w:val="Body Text1"/>
    <w:basedOn w:val="1"/>
    <w:autoRedefine/>
    <w:qFormat/>
    <w:uiPriority w:val="0"/>
    <w:rPr>
      <w:rFonts w:ascii="Calibri" w:hAnsi="Calibri" w:eastAsia="宋体" w:cs="Times New Roman"/>
      <w:szCs w:val="21"/>
    </w:rPr>
  </w:style>
  <w:style w:type="character" w:customStyle="1" w:styleId="14">
    <w:name w:val="标题 3 字符"/>
    <w:link w:val="3"/>
    <w:qFormat/>
    <w:uiPriority w:val="0"/>
    <w:rPr>
      <w:rFonts w:ascii="Calibri" w:hAnsi="Calibri" w:eastAsia="楷体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2022-11-22T02:29:00Z</dcterms:created>
  <dc:creator>Administrator</dc:creator>
  <cp:lastModifiedBy>李逗逗</cp:lastModifiedBy>
  <cp:lastPrinted>2022-11-23T07:41:00Z</cp:lastPrinted>
  <dcterms:modified xsi:type="dcterms:W3CDTF">2023-12-27T08:05:39Z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F21F7C16598747DE91463539B3E3E1D3_12</vt:lpwstr>
  </property>
</Properties>
</file>