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文星黑体" w:hAnsi="文星黑体" w:eastAsia="宋体" w:cs="文星黑体"/>
          <w:szCs w:val="44"/>
          <w:lang w:val="en-US" w:eastAsia="zh-CN"/>
        </w:rPr>
      </w:pPr>
      <w:bookmarkStart w:id="0" w:name="_Toc11865"/>
      <w:r>
        <w:rPr>
          <w:rFonts w:hint="eastAsia"/>
          <w:lang w:val="en-US" w:eastAsia="zh-CN"/>
        </w:rPr>
        <w:t>夏邑县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bookmarkStart w:id="1" w:name="_GoBack"/>
      <w:bookmarkEnd w:id="1"/>
      <w:r>
        <w:rPr>
          <w:rFonts w:hint="eastAsia"/>
          <w:lang w:eastAsia="zh-CN"/>
        </w:rPr>
        <w:t>歧河乡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tbl>
      <w:tblPr>
        <w:tblStyle w:val="5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5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OWM1OWY0MTY3YTUwZTkxMzFmOWFiZDljODY2ZTc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262630C"/>
    <w:rsid w:val="16B92400"/>
    <w:rsid w:val="180F7009"/>
    <w:rsid w:val="194F553A"/>
    <w:rsid w:val="1A206B66"/>
    <w:rsid w:val="1E3E5EA4"/>
    <w:rsid w:val="2C0215FB"/>
    <w:rsid w:val="2DE638C9"/>
    <w:rsid w:val="39A10B9C"/>
    <w:rsid w:val="407F12EB"/>
    <w:rsid w:val="41E46495"/>
    <w:rsid w:val="4A4C4759"/>
    <w:rsid w:val="59F649F1"/>
    <w:rsid w:val="5F5E70CB"/>
    <w:rsid w:val="60B32691"/>
    <w:rsid w:val="65F71A87"/>
    <w:rsid w:val="72A864A9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诶呦喂</cp:lastModifiedBy>
  <cp:lastPrinted>2020-12-17T00:56:00Z</cp:lastPrinted>
  <dcterms:modified xsi:type="dcterms:W3CDTF">2023-12-27T08:36:08Z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2218634A65D24164BA85F288B7E014A0_13</vt:lpwstr>
  </property>
</Properties>
</file>