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自然资源局人大代表建议办理情况统计表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9"/>
        <w:gridCol w:w="3405"/>
        <w:gridCol w:w="15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建议名称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是否办结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代表满意程度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001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乡村振兴土地扶持政策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007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推进乡村振兴的建议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013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集体土地发展农村产业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016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乡村振兴用地保障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022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调整三调后基本农田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026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解决乡镇企业用地难题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046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壮大集体经济的建议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083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集体土地用于医养结合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092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加强农村建房管理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107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何营电商园发展用地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109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扩建北岭镇敬老院用地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129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规范农村建议管理秩序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156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优化营商环境用地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158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加大返乡创业用地支持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179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解决公益事业用地难题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180</w:t>
            </w: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车站蔬菜交易市场用地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7DA2270B"/>
    <w:rsid w:val="7DA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2023-09-19T11:15:00Z</dcterms:created>
  <dc:creator>原子大帝</dc:creator>
  <cp:lastModifiedBy>原子大帝</cp:lastModifiedBy>
  <dcterms:modified xsi:type="dcterms:W3CDTF">2023-09-19T11:26:37Z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4969455B946542AF9689990344E0BFE1_11</vt:lpwstr>
  </property>
</Properties>
</file>