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40" w:lineRule="exact"/>
        <w:jc w:val="center"/>
        <w:rPr>
          <w:rFonts w:ascii="方正大标宋简体" w:hAnsi="方正大标宋简体" w:eastAsia="方正大标宋简体" w:cs="方正大标宋简体"/>
          <w:color w:val="FF0000"/>
          <w:w w:val="80"/>
          <w:sz w:val="144"/>
          <w:szCs w:val="124"/>
        </w:rPr>
      </w:pPr>
      <w:r>
        <w:rPr>
          <w:rFonts w:hint="eastAsia" w:ascii="方正大标宋简体" w:hAnsi="方正大标宋简体" w:eastAsia="方正大标宋简体" w:cs="方正大标宋简体"/>
          <w:color w:val="FF0000"/>
          <w:spacing w:val="1"/>
          <w:w w:val="56"/>
          <w:kern w:val="0"/>
          <w:sz w:val="144"/>
          <w:szCs w:val="124"/>
          <w:fitText w:val="8109" w:id="456271575"/>
          <w:lang w:val="en-US" w:eastAsia="zh-CN"/>
        </w:rPr>
        <w:t>夏邑县</w:t>
      </w:r>
      <w:r>
        <w:rPr>
          <w:rFonts w:hint="eastAsia" w:ascii="方正大标宋简体" w:hAnsi="方正大标宋简体" w:eastAsia="方正大标宋简体" w:cs="方正大标宋简体"/>
          <w:color w:val="FF0000"/>
          <w:spacing w:val="1"/>
          <w:w w:val="56"/>
          <w:kern w:val="0"/>
          <w:sz w:val="144"/>
          <w:szCs w:val="124"/>
          <w:fitText w:val="8109" w:id="456271575"/>
        </w:rPr>
        <w:t>城关镇</w:t>
      </w:r>
      <w:r>
        <w:rPr>
          <w:rFonts w:hint="eastAsia" w:ascii="方正大标宋简体" w:hAnsi="方正大标宋简体" w:eastAsia="方正大标宋简体" w:cs="方正大标宋简体"/>
          <w:color w:val="FF0000"/>
          <w:spacing w:val="1"/>
          <w:w w:val="56"/>
          <w:kern w:val="0"/>
          <w:sz w:val="144"/>
          <w:szCs w:val="124"/>
          <w:fitText w:val="8109" w:id="456271575"/>
          <w:lang w:val="en-US" w:eastAsia="zh-CN"/>
        </w:rPr>
        <w:t>人民政</w:t>
      </w:r>
      <w:r>
        <w:rPr>
          <w:rFonts w:hint="eastAsia" w:ascii="方正大标宋简体" w:hAnsi="方正大标宋简体" w:eastAsia="方正大标宋简体" w:cs="方正大标宋简体"/>
          <w:color w:val="FF0000"/>
          <w:spacing w:val="113"/>
          <w:w w:val="56"/>
          <w:kern w:val="0"/>
          <w:sz w:val="144"/>
          <w:szCs w:val="124"/>
          <w:fitText w:val="8109" w:id="456271575"/>
          <w:lang w:val="en-US" w:eastAsia="zh-CN"/>
        </w:rPr>
        <w:t>府</w:t>
      </w:r>
    </w:p>
    <w:p>
      <w:pPr>
        <w:rPr>
          <w:sz w:val="32"/>
          <w:szCs w:val="32"/>
        </w:rPr>
      </w:pPr>
    </w:p>
    <w:p>
      <w:pPr>
        <w:jc w:val="center"/>
        <w:rPr>
          <w:rFonts w:hint="eastAsia" w:ascii="仿宋_GB2312" w:hAnsi="仿宋_GB2312" w:eastAsia="仿宋_GB2312" w:cs="仿宋_GB2312"/>
          <w:sz w:val="32"/>
          <w:szCs w:val="32"/>
        </w:rPr>
      </w:pPr>
      <w:r>
        <mc:AlternateContent>
          <mc:Choice Requires="wpg">
            <w:drawing>
              <wp:anchor distT="0" distB="0" distL="114300" distR="114300" simplePos="0" relativeHeight="251659264" behindDoc="1" locked="0" layoutInCell="1" allowOverlap="1">
                <wp:simplePos x="0" y="0"/>
                <wp:positionH relativeFrom="column">
                  <wp:posOffset>125095</wp:posOffset>
                </wp:positionH>
                <wp:positionV relativeFrom="paragraph">
                  <wp:posOffset>306070</wp:posOffset>
                </wp:positionV>
                <wp:extent cx="5257165" cy="723900"/>
                <wp:effectExtent l="0" t="5080" r="635" b="13970"/>
                <wp:wrapNone/>
                <wp:docPr id="1" name="组合 1"/>
                <wp:cNvGraphicFramePr/>
                <a:graphic xmlns:a="http://schemas.openxmlformats.org/drawingml/2006/main">
                  <a:graphicData uri="http://schemas.microsoft.com/office/word/2010/wordprocessingGroup">
                    <wpg:wgp>
                      <wpg:cNvGrpSpPr/>
                      <wpg:grpSpPr>
                        <a:xfrm>
                          <a:off x="0" y="0"/>
                          <a:ext cx="5257165" cy="723900"/>
                          <a:chOff x="0" y="0"/>
                          <a:chExt cx="8280" cy="1140"/>
                        </a:xfrm>
                        <a:effectLst/>
                      </wpg:grpSpPr>
                      <wps:wsp>
                        <wps:cNvPr id="6" name="直线 1026"/>
                        <wps:cNvCnPr>
                          <a:cxnSpLocks noChangeShapeType="1"/>
                        </wps:cNvCnPr>
                        <wps:spPr bwMode="auto">
                          <a:xfrm>
                            <a:off x="0" y="540"/>
                            <a:ext cx="3825" cy="1"/>
                          </a:xfrm>
                          <a:prstGeom prst="line">
                            <a:avLst/>
                          </a:prstGeom>
                          <a:noFill/>
                          <a:ln w="31750">
                            <a:solidFill>
                              <a:srgbClr val="FF0000"/>
                            </a:solidFill>
                            <a:round/>
                          </a:ln>
                          <a:effectLst/>
                        </wps:spPr>
                        <wps:bodyPr/>
                      </wps:wsp>
                      <wps:wsp>
                        <wps:cNvPr id="7" name="直线 1027"/>
                        <wps:cNvCnPr>
                          <a:cxnSpLocks noChangeShapeType="1"/>
                        </wps:cNvCnPr>
                        <wps:spPr bwMode="auto">
                          <a:xfrm>
                            <a:off x="4455" y="540"/>
                            <a:ext cx="3825" cy="1"/>
                          </a:xfrm>
                          <a:prstGeom prst="line">
                            <a:avLst/>
                          </a:prstGeom>
                          <a:noFill/>
                          <a:ln w="31750">
                            <a:solidFill>
                              <a:srgbClr val="FF0000"/>
                            </a:solidFill>
                            <a:round/>
                          </a:ln>
                          <a:effectLst/>
                        </wps:spPr>
                        <wps:bodyPr/>
                      </wps:wsp>
                      <wps:wsp>
                        <wps:cNvPr id="8" name="矩形 1028"/>
                        <wps:cNvSpPr>
                          <a:spLocks noChangeArrowheads="1"/>
                        </wps:cNvSpPr>
                        <wps:spPr bwMode="auto">
                          <a:xfrm>
                            <a:off x="3721" y="0"/>
                            <a:ext cx="885" cy="1140"/>
                          </a:xfrm>
                          <a:prstGeom prst="rect">
                            <a:avLst/>
                          </a:prstGeom>
                          <a:solidFill>
                            <a:srgbClr val="FFFFFF"/>
                          </a:solidFill>
                          <a:ln w="9525">
                            <a:solidFill>
                              <a:srgbClr val="FFFFFF"/>
                            </a:solidFill>
                            <a:miter lim="200000"/>
                          </a:ln>
                          <a:effectLst/>
                        </wps:spPr>
                        <wps:txbx>
                          <w:txbxContent>
                            <w:p>
                              <w:pPr>
                                <w:ind w:firstLine="1120"/>
                                <w:rPr>
                                  <w:sz w:val="56"/>
                                  <w:szCs w:val="56"/>
                                </w:rPr>
                              </w:pPr>
                              <w:r>
                                <w:rPr>
                                  <w:rFonts w:hint="eastAsia" w:ascii="宋体" w:hAnsi="宋体" w:cs="宋体"/>
                                  <w:color w:val="FF0000"/>
                                  <w:sz w:val="56"/>
                                  <w:szCs w:val="56"/>
                                </w:rPr>
                                <w:t>★</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85pt;margin-top:24.1pt;height:57pt;width:413.95pt;z-index:-251657216;mso-width-relative:page;mso-height-relative:page;" coordsize="8280,1140" o:gfxdata="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MATtLZAAAACQEA&#10;AA8AAAAAAAAAAQAgAAAAIgAAAGRycy9kb3ducmV2LnhtbFBLAQIUABQAAAAIAIdO4kAq0sRoNgMA&#10;AGsJAAAOAAAAAAAAAAEAIAAAACgBAABkcnMvZTJvRG9jLnhtbFBLBQYAAAAABgAGAFkBAADQBgAA&#10;AAA=&#10;">
                <o:lock v:ext="edit" aspectratio="f"/>
                <v:line id="直线 1026" o:spid="_x0000_s1026" o:spt="20" style="position:absolute;left:0;top:540;height:1;width:3825;" filled="f" stroked="t" coordsize="21600,21600" o:gfxdata="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FlE6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line id="直线 1027" o:spid="_x0000_s1026" o:spt="20" style="position:absolute;left:4455;top:540;height:1;width:3825;" filled="f" stroked="t" coordsize="21600,21600" o:gfxdata="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MdW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rect id="矩形 1028" o:spid="_x0000_s1026" o:spt="1" style="position:absolute;left:3721;top:0;height:1140;width:885;" fillcolor="#FFFFFF" filled="t" stroked="t" coordsize="21600,21600" o:gfxdata="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fO/MLgAAADaAAAA&#10;DwAAAAAAAAABACAAAAAiAAAAZHJzL2Rvd25yZXYueG1sUEsBAhQAFAAAAAgAh07iQDMvBZ47AAAA&#10;OQAAABAAAAAAAAAAAQAgAAAABwEAAGRycy9zaGFwZXhtbC54bWxQSwUGAAAAAAYABgBbAQAAsQMA&#10;AAAA&#10;">
                  <v:fill on="t" focussize="0,0"/>
                  <v:stroke color="#FFFFFF" miterlimit="2" joinstyle="miter"/>
                  <v:imagedata o:title=""/>
                  <o:lock v:ext="edit" aspectratio="f"/>
                  <v:textbox>
                    <w:txbxContent>
                      <w:p>
                        <w:pPr>
                          <w:ind w:firstLine="1120"/>
                          <w:rPr>
                            <w:sz w:val="56"/>
                            <w:szCs w:val="56"/>
                          </w:rPr>
                        </w:pPr>
                        <w:r>
                          <w:rPr>
                            <w:rFonts w:hint="eastAsia" w:ascii="宋体" w:hAnsi="宋体" w:cs="宋体"/>
                            <w:color w:val="FF0000"/>
                            <w:sz w:val="56"/>
                            <w:szCs w:val="56"/>
                          </w:rPr>
                          <w:t>★</w:t>
                        </w:r>
                      </w:p>
                    </w:txbxContent>
                  </v:textbox>
                </v:rect>
              </v:group>
            </w:pict>
          </mc:Fallback>
        </mc:AlternateContent>
      </w:r>
      <w:r>
        <w:rPr>
          <w:rFonts w:hint="eastAsia" w:ascii="仿宋_GB2312" w:hAnsi="仿宋_GB2312" w:eastAsia="仿宋_GB2312" w:cs="仿宋_GB2312"/>
          <w:sz w:val="32"/>
          <w:szCs w:val="32"/>
        </w:rPr>
        <w:t>城</w:t>
      </w:r>
      <w:r>
        <w:rPr>
          <w:rFonts w:hint="eastAsia" w:ascii="仿宋_GB2312" w:hAnsi="仿宋_GB2312" w:cs="仿宋_GB2312"/>
          <w:sz w:val="32"/>
          <w:szCs w:val="32"/>
          <w:lang w:val="en-US" w:eastAsia="zh-CN"/>
        </w:rPr>
        <w:t>政</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p>
      <w:pPr>
        <w:rPr>
          <w:rFonts w:hint="eastAsia" w:ascii="宋体" w:hAnsi="宋体"/>
          <w:sz w:val="32"/>
          <w:szCs w:val="32"/>
        </w:rPr>
      </w:pPr>
      <w:r>
        <mc:AlternateContent>
          <mc:Choice Requires="wps">
            <w:drawing>
              <wp:anchor distT="0" distB="0" distL="114300" distR="114300" simplePos="0" relativeHeight="251660288" behindDoc="0" locked="0" layoutInCell="1" allowOverlap="1">
                <wp:simplePos x="0" y="0"/>
                <wp:positionH relativeFrom="column">
                  <wp:posOffset>2599055</wp:posOffset>
                </wp:positionH>
                <wp:positionV relativeFrom="paragraph">
                  <wp:posOffset>88900</wp:posOffset>
                </wp:positionV>
                <wp:extent cx="354330" cy="360680"/>
                <wp:effectExtent l="13970" t="16510" r="31750" b="22860"/>
                <wp:wrapNone/>
                <wp:docPr id="9" name="五角星 9"/>
                <wp:cNvGraphicFramePr/>
                <a:graphic xmlns:a="http://schemas.openxmlformats.org/drawingml/2006/main">
                  <a:graphicData uri="http://schemas.microsoft.com/office/word/2010/wordprocessingShape">
                    <wps:wsp>
                      <wps:cNvSpPr/>
                      <wps:spPr>
                        <a:xfrm>
                          <a:off x="0" y="0"/>
                          <a:ext cx="320675" cy="330200"/>
                        </a:xfrm>
                        <a:prstGeom prst="star5">
                          <a:avLst/>
                        </a:prstGeom>
                        <a:solidFill>
                          <a:srgbClr val="FF0000"/>
                        </a:solidFill>
                        <a:ln w="9525" cap="flat" cmpd="sng">
                          <a:solidFill>
                            <a:srgbClr val="FF0000"/>
                          </a:solidFill>
                          <a:prstDash val="solid"/>
                          <a:miter/>
                          <a:headEnd type="none" w="med" len="med"/>
                          <a:tailEnd type="none" w="med" len="med"/>
                        </a:ln>
                        <a:effectLst/>
                      </wps:spPr>
                      <wps:bodyPr upright="1"/>
                    </wps:wsp>
                  </a:graphicData>
                </a:graphic>
              </wp:anchor>
            </w:drawing>
          </mc:Choice>
          <mc:Fallback>
            <w:pict>
              <v:shape id="_x0000_s1026" o:spid="_x0000_s1026" style="position:absolute;left:0pt;margin-left:204.65pt;margin-top:7pt;height:28.4pt;width:27.9pt;z-index:251660288;mso-width-relative:page;mso-height-relative:page;" fillcolor="#FF0000" filled="t" stroked="t" coordsize="320675,330200" o:gfxdata="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72W1zVAAAACQEAAA8AAAAAAAAAAQAgAAAAIgAAAGRycy9kb3du&#10;cmV2LnhtbFBLAQIUABQAAAAIAIdO4kBC1PhOAgIAAC8EAAAOAAAAAAAAAAEAIAAAACQBAABkcnMv&#10;ZTJvRG9jLnhtbFBLBQYAAAAABgAGAFkBAACYBQAAAAA=&#10;" path="m0,126124l122487,126125,160337,0,198187,126125,320674,126124,221579,204073,259431,330199,160337,252248,61243,330199,99095,204073xe">
                <v:path o:connectlocs="160337,0;0,126124;61243,330199;259431,330199;320674,126124" o:connectangles="247,164,82,82,0"/>
                <v:fill on="t" focussize="0,0"/>
                <v:stroke color="#FF0000" joinstyle="miter"/>
                <v:imagedata o:title=""/>
                <o:lock v:ext="edit" aspectratio="f"/>
              </v:shape>
            </w:pict>
          </mc:Fallback>
        </mc:AlternateContent>
      </w:r>
    </w:p>
    <w:p>
      <w:pPr>
        <w:spacing w:line="324" w:lineRule="auto"/>
        <w:rPr>
          <w:rFonts w:ascii="Arial"/>
          <w:sz w:val="21"/>
        </w:rPr>
      </w:pPr>
    </w:p>
    <w:p>
      <w:pPr>
        <w:spacing w:line="32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16" w:lineRule="auto"/>
        <w:ind w:right="0"/>
        <w:jc w:val="center"/>
        <w:textAlignment w:val="baseline"/>
        <w:rPr>
          <w:rFonts w:hint="eastAsia" w:ascii="方正小标宋简体" w:hAnsi="方正小标宋简体" w:eastAsia="方正小标宋简体" w:cs="方正小标宋简体"/>
          <w:spacing w:val="18"/>
          <w:sz w:val="44"/>
          <w:szCs w:val="44"/>
          <w:lang w:val="en-US" w:eastAsia="zh-CN"/>
        </w:rPr>
      </w:pPr>
      <w:r>
        <w:rPr>
          <w:rFonts w:hint="eastAsia" w:ascii="方正小标宋简体" w:hAnsi="方正小标宋简体" w:eastAsia="方正小标宋简体" w:cs="方正小标宋简体"/>
          <w:spacing w:val="18"/>
          <w:sz w:val="44"/>
          <w:szCs w:val="44"/>
          <w:lang w:val="en-US" w:eastAsia="zh-CN"/>
        </w:rPr>
        <w:t>夏邑县城关镇人民政府</w:t>
      </w:r>
    </w:p>
    <w:p>
      <w:pPr>
        <w:keepNext w:val="0"/>
        <w:keepLines w:val="0"/>
        <w:pageBreakBefore w:val="0"/>
        <w:widowControl/>
        <w:kinsoku w:val="0"/>
        <w:wordWrap/>
        <w:overflowPunct/>
        <w:topLinePunct w:val="0"/>
        <w:autoSpaceDE w:val="0"/>
        <w:autoSpaceDN w:val="0"/>
        <w:bidi w:val="0"/>
        <w:adjustRightInd w:val="0"/>
        <w:snapToGrid w:val="0"/>
        <w:spacing w:line="216" w:lineRule="auto"/>
        <w:ind w:right="0"/>
        <w:jc w:val="center"/>
        <w:textAlignment w:val="baseline"/>
        <w:rPr>
          <w:rFonts w:hint="eastAsia" w:ascii="方正小标宋简体" w:hAnsi="方正小标宋简体" w:eastAsia="方正小标宋简体" w:cs="方正小标宋简体"/>
          <w:spacing w:val="13"/>
          <w:sz w:val="44"/>
          <w:szCs w:val="44"/>
        </w:rPr>
      </w:pPr>
      <w:r>
        <w:rPr>
          <w:rFonts w:hint="eastAsia" w:ascii="方正小标宋简体" w:hAnsi="方正小标宋简体" w:eastAsia="方正小标宋简体" w:cs="方正小标宋简体"/>
          <w:spacing w:val="18"/>
          <w:sz w:val="44"/>
          <w:szCs w:val="44"/>
        </w:rPr>
        <w:t>关于印发</w:t>
      </w:r>
      <w:r>
        <w:rPr>
          <w:rFonts w:hint="eastAsia" w:ascii="方正小标宋简体" w:hAnsi="方正小标宋简体" w:eastAsia="方正小标宋简体" w:cs="方正小标宋简体"/>
          <w:spacing w:val="18"/>
          <w:sz w:val="44"/>
          <w:szCs w:val="44"/>
          <w:lang w:eastAsia="zh-CN"/>
        </w:rPr>
        <w:t>《</w:t>
      </w:r>
      <w:r>
        <w:rPr>
          <w:rFonts w:hint="eastAsia" w:ascii="方正小标宋简体" w:hAnsi="方正小标宋简体" w:eastAsia="方正小标宋简体" w:cs="方正小标宋简体"/>
          <w:spacing w:val="18"/>
          <w:sz w:val="44"/>
          <w:szCs w:val="44"/>
        </w:rPr>
        <w:t>2023-2024年受灾困难群众</w:t>
      </w:r>
    </w:p>
    <w:p>
      <w:pPr>
        <w:keepNext w:val="0"/>
        <w:keepLines w:val="0"/>
        <w:pageBreakBefore w:val="0"/>
        <w:widowControl/>
        <w:kinsoku w:val="0"/>
        <w:wordWrap/>
        <w:overflowPunct/>
        <w:topLinePunct w:val="0"/>
        <w:autoSpaceDE w:val="0"/>
        <w:autoSpaceDN w:val="0"/>
        <w:bidi w:val="0"/>
        <w:adjustRightInd w:val="0"/>
        <w:snapToGrid w:val="0"/>
        <w:spacing w:line="216" w:lineRule="auto"/>
        <w:ind w:right="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rPr>
        <w:t>冬春救助实施方案</w:t>
      </w:r>
      <w:r>
        <w:rPr>
          <w:rFonts w:hint="eastAsia" w:ascii="方正小标宋简体" w:hAnsi="方正小标宋简体" w:eastAsia="方正小标宋简体" w:cs="方正小标宋简体"/>
          <w:spacing w:val="18"/>
          <w:sz w:val="44"/>
          <w:szCs w:val="44"/>
          <w:lang w:eastAsia="zh-CN"/>
        </w:rPr>
        <w:t>》</w:t>
      </w:r>
      <w:r>
        <w:rPr>
          <w:rFonts w:hint="eastAsia" w:ascii="方正小标宋简体" w:hAnsi="方正小标宋简体" w:eastAsia="方正小标宋简体" w:cs="方正小标宋简体"/>
          <w:spacing w:val="9"/>
          <w:sz w:val="44"/>
          <w:szCs w:val="44"/>
        </w:rPr>
        <w:t>的通知</w:t>
      </w:r>
    </w:p>
    <w:p>
      <w:pPr>
        <w:spacing w:line="353" w:lineRule="auto"/>
        <w:rPr>
          <w:rFonts w:ascii="Arial"/>
          <w:sz w:val="21"/>
        </w:rPr>
      </w:pPr>
    </w:p>
    <w:p>
      <w:pPr>
        <w:spacing w:line="353"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各村（社区）、镇直各单位：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现将《2023-2024年受灾困难群众冬春救助实施方案》印发给你们，请结合本地实际，认真贯彻落实。</w:t>
      </w:r>
    </w:p>
    <w:p>
      <w:pPr>
        <w:keepNext w:val="0"/>
        <w:keepLines w:val="0"/>
        <w:pageBreakBefore w:val="0"/>
        <w:wordWrap/>
        <w:overflowPunct/>
        <w:topLinePunct w:val="0"/>
        <w:bidi w:val="0"/>
        <w:spacing w:line="600" w:lineRule="exact"/>
        <w:ind w:left="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ordWrap/>
        <w:overflowPunct/>
        <w:topLinePunct w:val="0"/>
        <w:bidi w:val="0"/>
        <w:spacing w:line="600" w:lineRule="exact"/>
        <w:ind w:left="0"/>
        <w:jc w:val="right"/>
        <w:rPr>
          <w:rFonts w:hint="eastAsia" w:ascii="仿宋_GB2312" w:hAnsi="仿宋_GB2312" w:eastAsia="仿宋_GB2312" w:cs="仿宋_GB2312"/>
          <w:sz w:val="32"/>
          <w:szCs w:val="32"/>
          <w:lang w:val="en-US" w:eastAsia="zh-CN"/>
        </w:rPr>
      </w:pPr>
    </w:p>
    <w:p>
      <w:pPr>
        <w:keepNext w:val="0"/>
        <w:keepLines w:val="0"/>
        <w:pageBreakBefore w:val="0"/>
        <w:wordWrap/>
        <w:overflowPunct/>
        <w:topLinePunct w:val="0"/>
        <w:bidi w:val="0"/>
        <w:spacing w:line="600" w:lineRule="exact"/>
        <w:ind w:lef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夏邑县城关镇人民政府</w:t>
      </w:r>
    </w:p>
    <w:p>
      <w:pPr>
        <w:keepNext w:val="0"/>
        <w:keepLines w:val="0"/>
        <w:pageBreakBefore w:val="0"/>
        <w:wordWrap/>
        <w:overflowPunct/>
        <w:topLinePunct w:val="0"/>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2023年12月2</w:t>
      </w: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rPr>
        <w:t>日</w:t>
      </w:r>
    </w:p>
    <w:p>
      <w:pPr>
        <w:keepNext w:val="0"/>
        <w:keepLines w:val="0"/>
        <w:pageBreakBefore w:val="0"/>
        <w:wordWrap/>
        <w:overflowPunct/>
        <w:topLinePunct w:val="0"/>
        <w:bidi w:val="0"/>
        <w:spacing w:line="600" w:lineRule="exact"/>
        <w:ind w:left="0"/>
        <w:jc w:val="right"/>
        <w:rPr>
          <w:rFonts w:hint="eastAsia" w:ascii="仿宋_GB2312" w:hAnsi="仿宋_GB2312" w:eastAsia="仿宋_GB2312" w:cs="仿宋_GB2312"/>
          <w:sz w:val="32"/>
          <w:szCs w:val="32"/>
        </w:rPr>
        <w:sectPr>
          <w:footerReference r:id="rId5" w:type="default"/>
          <w:pgSz w:w="11900" w:h="16820"/>
          <w:pgMar w:top="2154" w:right="1474" w:bottom="2041" w:left="1587" w:header="0" w:footer="1099" w:gutter="0"/>
          <w:cols w:space="720" w:num="1"/>
        </w:sectPr>
      </w:pPr>
    </w:p>
    <w:p>
      <w:pPr>
        <w:pStyle w:val="2"/>
        <w:spacing w:line="223" w:lineRule="auto"/>
        <w:rPr>
          <w:rFonts w:hint="eastAsia"/>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2023-2024年受灾困难群众冬春救助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施</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我县发生两次洪涝灾害，给灾区群众造成较大经济损失，受灾群众今冬明春基本生活面临一定困难，为扎实有序做好全县今冬明春受灾困难群众生活救助工作，及时把党和政府的关怀温暖送达受灾群众，保障受灾群众能够温暖过冬、安全过节，根据《河南省应急管理厅河南省财政厅关于组织开展2023-2024年度全省受灾群众冬春救助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豫应急办〔2023〕86号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和《商丘市应急管理局关于印发2023-2024年受灾困难群众冬春救助工作方案的通知》,结合我镇实际，特制定本实施方案。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一、指导思想和目标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习近平总书记关于救灾重要指示精神，坚持“人民至上，生命至上”理念，以“保障民生、维护稳定、促进和谐、服务发展”为目标，把冬春救助工作作为保障受灾困难群众基本生活和防止因灾致贫返贫的政治任务。按照“分类救助、重点救助、精准救助”原则，应救尽救，突出重灾村（居）和重灾户。确保受灾困难群众人心安定、社会大局稳定。</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二、救助范围</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因自然灾害造成生活临时困难的家庭和人员，包括因灾倒房重建户、农作物减产绝收户、受灾已脱贫户、受灾低保对象、受灾低保边缘户等受灾困难家庭和受灾的分散供养特困人员、散居孤儿、留守老人、优抚对象及残疾人等。12月底前如有新的灾害发生，要统筹兼顾新灾受灾人员救助的需求，及时、规范救助到位。</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三、救助程序</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需救助对象的调查统计。</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要组织力量深入基层，依托今年在国家自然灾害灾情管理系统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以下简称灾情系统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上报的灾情为底数，对冬春需救助人员进行全面摸底排查，掌握需救助人数、资金和物资需求等。通过“户报、村评、乡审、县定”四个步骤确定救助对象：由本人申请或者村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小组提名，经村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民委员民主评议公示无异议后，由村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民委员会将评议意见和有关材料提交乡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人民政府审核，审核后报县应急管理部门审批。对于老年人、残疾人、丧失劳动能力的重病患者等特殊受灾困难群众，本人办理申请手续困难的，应主动将其列为救助对象主动开展救助工作。</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（二）救助对象的评估核定。</w:t>
      </w:r>
      <w:r>
        <w:rPr>
          <w:rFonts w:hint="eastAsia" w:ascii="仿宋_GB2312" w:hAnsi="仿宋_GB2312" w:eastAsia="仿宋_GB2312" w:cs="仿宋_GB2312"/>
          <w:sz w:val="32"/>
          <w:szCs w:val="32"/>
        </w:rPr>
        <w:t>县应急管理局收到乡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报的材料后，及时进行复核和审批。组织填写汇总本地区的《受灾人员冬春生活需救助人口一览表》,重点对救助人员的身份证号、一卡通账号等进行核对、校验，如发现信息错误及时更正，做到早发现，早处理，避免耽误后期资金拨付进度。建议救助对象提前向一卡通账号打入一元钱，保障提供的一卡通账号可以正常使用，为救助资金能够顺畅快速到账做好准备。</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（三）冬春救助资金的发放。</w:t>
      </w:r>
      <w:r>
        <w:rPr>
          <w:rFonts w:hint="eastAsia" w:ascii="仿宋_GB2312" w:hAnsi="仿宋_GB2312" w:eastAsia="仿宋_GB2312" w:cs="仿宋_GB2312"/>
          <w:sz w:val="32"/>
          <w:szCs w:val="32"/>
        </w:rPr>
        <w:t>严格按照民主评议、登记造册、张榜公布、公开发放的工作规程，资金达到后，各乡镇尽快组织开展第二轮公示，将资金发放情况进行公示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包含救助对象姓名、家庭住址、补助金额等内容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,接受群众监督。在资金发放形式上，原则上通过“一卡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通”发放，注明“冬春救助”字样，并发送打款提示信息；个别特殊群体可根据实际情况发放现金，确需实物救助的，提早组织采购，按照《受灾人员冬春生活救助工作规程》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应急〔2023〕6号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要求，将采购物资及时发放给救助对象，不得存储、滞留。要主动公开相关信息，自觉接受社会监督，配合审计部门和纪检监察机构等的监督检查。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四、救助标准</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上级文件规定，冬春临时生活困难救助用于帮助受灾群众解决冬令春荒期间基本生活问题。按照需救助时段、需救助数量，分类施救的要求，救助标准原则上按“每人不低于100元不高于300元且每户不高于2000元”的指导标准落实。各村（居）结合冬春救助款物总量、受灾人员困难程度、需救助总人数等因素，因地制宜制定救助具体标准，对受灾特殊群体，要注明实际情况，视情提高救助标准。要优先做好倒房重建户和受灾低保对象、分散供养特困人员、低保边缘家庭、支出型困难家庭、防止返贫监群体的救助。</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五、时间要求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（一）2023年12月中旬至2024年2月10日为救助实施阶段。</w:t>
      </w:r>
      <w:r>
        <w:rPr>
          <w:rFonts w:hint="eastAsia" w:ascii="仿宋_GB2312" w:hAnsi="仿宋_GB2312" w:eastAsia="仿宋_GB2312" w:cs="仿宋_GB2312"/>
          <w:sz w:val="32"/>
          <w:szCs w:val="32"/>
        </w:rPr>
        <w:t>县应急管理局根据上级下拨的救灾补助资金和本级资金安排，结合各乡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灾情况，在已确定的救助范围内实施救助，明确分类救助标准，在春节前按程序及时将救灾款物全部发放到救助对象手中。科学做好冬春救助工作绩效评价，填报《中央对地方专项转移支付区域目标申报表》,提高资金使用效益。</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（二）2024年5月底前为冬春已救助情况调查、核定和上报阶段。</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做好救助工作资料的汇总、归档工作，对冬春救助工作绩效进行总结评估，调查、统计、汇总本乡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灾困难人员冬春已救助情况，如与此前统计上报需救助人员存在差异，要重点上报说明情况。按要求填报《受灾人员冬春生活已救助人口一览表》,县应急管理局和财政局通过抽样检查、台账抽查、电话核实、评估核验等方式，对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冬春救助工作整体情况进行实地督导检查。</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六、工作要求</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（一）加强组织领导。</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要切实提高政治站位，强化使命担当，当地党委和各乡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政府要落实好冬春救助工作。要按照《中央自然灾害救灾资金管理暂行办法》和《受灾人员冬春生活救助工作规程》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应急〔2023〕6号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有关要求，深入基层了解受灾困难群众期盼和诉求，提高工作的预见性和前瞻性，早部署、早谋划、早安排，迅速行动，科学制定实施方案，细化具体救助措施，确保工作取得实效。</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（二）加强资金监管。</w:t>
      </w:r>
      <w:r>
        <w:rPr>
          <w:rFonts w:hint="eastAsia" w:ascii="仿宋_GB2312" w:hAnsi="仿宋_GB2312" w:eastAsia="仿宋_GB2312" w:cs="仿宋_GB2312"/>
          <w:sz w:val="32"/>
          <w:szCs w:val="32"/>
        </w:rPr>
        <w:t>县应急管理局及各乡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政府应按照“专款专用、重点使用、无偿使用”的原则，管好用好冬春救助资金。上级和地方冬春救灾资金下达后，各受灾乡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要加快冬春救助资金下拨进度，及时跟踪调度，直达受灾群众，严禁资金截留挪用、发放迟缓或沉淀不用，要积极配合审计部门和纪检监察机关等的监督监察。</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（三）强化正面宣传。</w:t>
      </w:r>
      <w:r>
        <w:rPr>
          <w:rFonts w:hint="eastAsia" w:ascii="仿宋_GB2312" w:hAnsi="仿宋_GB2312" w:eastAsia="仿宋_GB2312" w:cs="仿宋_GB2312"/>
          <w:sz w:val="32"/>
          <w:szCs w:val="32"/>
        </w:rPr>
        <w:t>县应急管理局及各乡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要加强冬春救助正面宣传，充分利用新闻媒体、乡村“小广播”、板报专栏等形式广泛宣传救助成效，增强冬春救助工作的透明度，提高政府公信力，提升冬春救助工作的知晓度和认可度，展现党和政府关心关怀受灾群众的良好形象。</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附件：城关镇2023-2024年度中央自然灾害救灾资金分配表</w:t>
      </w: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sz w:val="32"/>
          <w:szCs w:val="32"/>
        </w:rPr>
      </w:pPr>
    </w:p>
    <w:p>
      <w:pPr>
        <w:pStyle w:val="2"/>
        <w:spacing w:line="223" w:lineRule="auto"/>
        <w:rPr>
          <w:rFonts w:hint="eastAsia"/>
          <w:sz w:val="32"/>
          <w:szCs w:val="32"/>
          <w:lang w:eastAsia="zh-CN"/>
        </w:rPr>
      </w:pPr>
    </w:p>
    <w:p>
      <w:pPr>
        <w:pStyle w:val="2"/>
        <w:spacing w:line="223" w:lineRule="auto"/>
        <w:rPr>
          <w:rFonts w:hint="eastAsia"/>
          <w:sz w:val="32"/>
          <w:szCs w:val="32"/>
          <w:lang w:eastAsia="zh-CN"/>
        </w:rPr>
        <w:sectPr>
          <w:footerReference r:id="rId6" w:type="default"/>
          <w:pgSz w:w="11900" w:h="16820"/>
          <w:pgMar w:top="1429" w:right="1722" w:bottom="1215" w:left="1579" w:header="0" w:footer="1066" w:gutter="0"/>
          <w:cols w:space="720" w:num="1"/>
        </w:sectPr>
      </w:pPr>
    </w:p>
    <w:p>
      <w:pPr>
        <w:pStyle w:val="2"/>
        <w:spacing w:line="223"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spacing w:line="223" w:lineRule="auto"/>
        <w:jc w:val="center"/>
        <w:rPr>
          <w:rFonts w:hint="eastAsia" w:ascii="宋体" w:hAnsi="宋体" w:eastAsia="宋体" w:cs="宋体"/>
          <w:sz w:val="32"/>
          <w:szCs w:val="32"/>
          <w:lang w:val="en-US" w:eastAsia="zh-CN"/>
        </w:rPr>
      </w:pPr>
    </w:p>
    <w:p>
      <w:pPr>
        <w:pStyle w:val="2"/>
        <w:spacing w:line="223"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城关镇2023-2024年中央自然灾害救灾</w:t>
      </w:r>
    </w:p>
    <w:p>
      <w:pPr>
        <w:pStyle w:val="2"/>
        <w:spacing w:line="223"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资金分配表</w:t>
      </w:r>
    </w:p>
    <w:p>
      <w:pPr>
        <w:pStyle w:val="2"/>
        <w:spacing w:line="223" w:lineRule="auto"/>
        <w:jc w:val="center"/>
        <w:rPr>
          <w:rFonts w:hint="eastAsia"/>
          <w:sz w:val="32"/>
          <w:szCs w:val="32"/>
          <w:lang w:val="en-US" w:eastAsia="zh-CN"/>
        </w:rPr>
      </w:pPr>
      <w:r>
        <w:rPr>
          <w:rFonts w:hint="eastAsia"/>
          <w:sz w:val="32"/>
          <w:szCs w:val="32"/>
          <w:lang w:val="en-US" w:eastAsia="zh-CN"/>
        </w:rPr>
        <w:t xml:space="preserve">             </w:t>
      </w:r>
    </w:p>
    <w:p>
      <w:pPr>
        <w:pStyle w:val="2"/>
        <w:spacing w:line="223" w:lineRule="auto"/>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单位：元</w:t>
      </w:r>
    </w:p>
    <w:tbl>
      <w:tblPr>
        <w:tblStyle w:val="4"/>
        <w:tblpPr w:leftFromText="180" w:rightFromText="180" w:vertAnchor="text" w:horzAnchor="page" w:tblpX="1579" w:tblpY="3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3"/>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村（居）委会</w:t>
            </w:r>
          </w:p>
        </w:tc>
        <w:tc>
          <w:tcPr>
            <w:tcW w:w="2204" w:type="dxa"/>
          </w:tcPr>
          <w:p>
            <w:pPr>
              <w:pStyle w:val="2"/>
              <w:widowControl w:val="0"/>
              <w:spacing w:line="223" w:lineRule="auto"/>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金额（元）</w:t>
            </w:r>
          </w:p>
        </w:tc>
        <w:tc>
          <w:tcPr>
            <w:tcW w:w="2204" w:type="dxa"/>
          </w:tcPr>
          <w:p>
            <w:pPr>
              <w:pStyle w:val="2"/>
              <w:widowControl w:val="0"/>
              <w:spacing w:line="223" w:lineRule="auto"/>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村（居）委会</w:t>
            </w:r>
          </w:p>
        </w:tc>
        <w:tc>
          <w:tcPr>
            <w:tcW w:w="2204" w:type="dxa"/>
          </w:tcPr>
          <w:p>
            <w:pPr>
              <w:pStyle w:val="2"/>
              <w:widowControl w:val="0"/>
              <w:spacing w:line="223" w:lineRule="auto"/>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北关</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20664</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教门街</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滨湖</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3444</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孔源</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陈庄</w:t>
            </w:r>
          </w:p>
        </w:tc>
        <w:tc>
          <w:tcPr>
            <w:tcW w:w="2204" w:type="dxa"/>
          </w:tcPr>
          <w:p>
            <w:pPr>
              <w:pStyle w:val="2"/>
              <w:widowControl w:val="0"/>
              <w:spacing w:line="223" w:lineRule="auto"/>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5156</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李古同</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城里</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5695</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栗园</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福利</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2781</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南关</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光明</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2649</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南郊</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郭楼</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27155</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三义街</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鸿运</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2914</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三元</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汇贤</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3046</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狮刘</w:t>
            </w:r>
          </w:p>
        </w:tc>
        <w:tc>
          <w:tcPr>
            <w:tcW w:w="2204" w:type="dxa"/>
          </w:tcPr>
          <w:p>
            <w:pPr>
              <w:pStyle w:val="2"/>
              <w:widowControl w:val="0"/>
              <w:spacing w:line="223" w:lineRule="auto"/>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39584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健民</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2914</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孙楼</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天龙湖</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2263</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新区</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西关</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26890</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新兴</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闫刘</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27287</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育才</w:t>
            </w:r>
          </w:p>
        </w:tc>
        <w:tc>
          <w:tcPr>
            <w:tcW w:w="2204"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合并</w:t>
            </w:r>
          </w:p>
        </w:tc>
        <w:tc>
          <w:tcPr>
            <w:tcW w:w="6612" w:type="dxa"/>
            <w:gridSpan w:val="3"/>
          </w:tcPr>
          <w:p>
            <w:pPr>
              <w:pStyle w:val="2"/>
              <w:widowControl w:val="0"/>
              <w:spacing w:line="223" w:lineRule="auto"/>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284400</w:t>
            </w:r>
          </w:p>
        </w:tc>
      </w:tr>
    </w:tbl>
    <w:p>
      <w:pPr>
        <w:pStyle w:val="2"/>
        <w:spacing w:line="223" w:lineRule="auto"/>
        <w:jc w:val="right"/>
        <w:rPr>
          <w:rFonts w:hint="eastAsia"/>
          <w:sz w:val="44"/>
          <w:szCs w:val="44"/>
          <w:lang w:val="en-US" w:eastAsia="zh-CN"/>
        </w:rPr>
      </w:pPr>
    </w:p>
    <w:p>
      <w:pPr>
        <w:pStyle w:val="2"/>
        <w:spacing w:line="223" w:lineRule="auto"/>
        <w:jc w:val="both"/>
        <w:rPr>
          <w:rFonts w:hint="default"/>
          <w:sz w:val="32"/>
          <w:szCs w:val="32"/>
          <w:lang w:val="en-US" w:eastAsia="zh-CN"/>
        </w:rPr>
      </w:pPr>
    </w:p>
    <w:sectPr>
      <w:pgSz w:w="11900" w:h="16820"/>
      <w:pgMar w:top="1429" w:right="1722" w:bottom="1215" w:left="1579" w:header="0" w:footer="106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4520"/>
      <w:rPr>
        <w:rFonts w:ascii="宋体" w:hAnsi="宋体" w:eastAsia="宋体" w:cs="宋体"/>
        <w:sz w:val="14"/>
        <w:szCs w:val="14"/>
      </w:rPr>
    </w:pPr>
    <w:r>
      <w:rPr>
        <w:rFonts w:ascii="宋体" w:hAnsi="宋体" w:eastAsia="宋体" w:cs="宋体"/>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4240"/>
      <w:rPr>
        <w:rFonts w:ascii="宋体" w:hAnsi="宋体" w:eastAsia="宋体" w:cs="宋体"/>
        <w:sz w:val="15"/>
        <w:szCs w:val="15"/>
      </w:rPr>
    </w:pPr>
    <w:r>
      <w:rPr>
        <w:rFonts w:ascii="宋体" w:hAnsi="宋体" w:eastAsia="宋体" w:cs="宋体"/>
        <w:sz w:val="15"/>
        <w:szCs w:val="15"/>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VkNjg1MjhhZjQ5MDdiMjg1ZGU3YmE0Y2M2MWU0ZTkifQ=="/>
  </w:docVars>
  <w:rsids>
    <w:rsidRoot w:val="00000000"/>
    <w:rsid w:val="0FB07261"/>
    <w:rsid w:val="6CA04DB4"/>
    <w:rsid w:val="776D3DE4"/>
    <w:rsid w:val="79255E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3"/>
      <w:szCs w:val="33"/>
      <w:lang w:val="en-US" w:eastAsia="en-US"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2023-12-25T09:14:00Z</dcterms:created>
  <dc:creator>Kingsoft-PDF</dc:creator>
  <cp:lastModifiedBy>opjpj</cp:lastModifiedBy>
  <dcterms:modified xsi:type="dcterms:W3CDTF">2023-12-26T00:49:37Z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2023-12-25T09:14:48Z</vt:filetime>
  </property>
  <property fmtid="{D5CDD505-2E9C-101B-9397-08002B2CF9AE}" pid="4" name="UsrData">
    <vt:lpwstr>4e0f2931b0e946b580c47349ebae0d75</vt:lpwstr>
  </property>
  <property fmtid="{D5CDD505-2E9C-101B-9397-08002B2CF9AE}" pid="5" name="KSOProductBuildVer">
    <vt:lpwstr>2052-12.1.0.15990</vt:lpwstr>
  </property>
  <property fmtid="{D5CDD505-2E9C-101B-9397-08002B2CF9AE}" pid="6" name="ICV">
    <vt:lpwstr>00FC8E70856440F082A61E57F47ADFA6_13</vt:lpwstr>
  </property>
</Properties>
</file>