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夏邑县公安局关于2023年第四季度政务新媒体监管情况的通报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按照政务新媒体常态化监管有关工作要求，经对县局政务新媒体账号运营情况进行检查，现将有关情况通报如下：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 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一、存在的主要问题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（一）信息更新不及时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（二）信息质量有待提高。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 二、下一步工作要求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（一）提高政治站位。始终把政治建设摆在政务新媒体工作的首要位置，严把政治关、法律关、政策关、文字关，不断增强政务新媒体的公信力、传播力。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（二）强化信息发布审核监管。加强信息报送、发布审核把关，坚决杜绝出现严重表述错误、泄露个人隐私、信息更新不及时等问题。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（三）加大政务新媒体监管力度。加强政务新媒体的运维管理工作，合理安排新媒体账号的信息发布，避免发生超期未更新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的</w:t>
      </w:r>
      <w:r>
        <w:rPr>
          <w:rFonts w:hint="eastAsia" w:ascii="微软雅黑" w:hAnsi="微软雅黑" w:eastAsia="微软雅黑" w:cs="微软雅黑"/>
          <w:sz w:val="24"/>
          <w:szCs w:val="24"/>
        </w:rPr>
        <w:t>情况。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6000" w:firstLineChars="25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夏邑县公安局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5520" w:firstLineChars="23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2023年12月26日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7E"/>
    <w:rsid w:val="0004376D"/>
    <w:rsid w:val="00684C7E"/>
    <w:rsid w:val="17573FD8"/>
    <w:rsid w:val="39F5275F"/>
    <w:rsid w:val="4EE331A8"/>
    <w:rsid w:val="7D56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318</Words>
  <Characters>326</Characters>
  <Lines>3</Lines>
  <Paragraphs>1</Paragraphs>
  <TotalTime>7</TotalTime>
  <ScaleCrop>false</ScaleCrop>
  <LinksUpToDate>false</LinksUpToDate>
  <CharactersWithSpaces>326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2023-12-26T09:43:00Z</dcterms:created>
  <dc:creator>Lenovo</dc:creator>
  <cp:lastModifiedBy>Administrator</cp:lastModifiedBy>
  <dcterms:modified xsi:type="dcterms:W3CDTF">2023-12-27T13:18:41Z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45677AAF3A8849DFA64C6A46B6979D5E</vt:lpwstr>
  </property>
</Properties>
</file>