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夏邑县骆集乡2022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年政府信息公开工作年度报告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骆集乡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坚持以习近平新时代中国特色社会主义思想为指导，认真落实党中央、省、市、县相关文件精神，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紧紧围绕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党委政府工作大局，成立以乡党委书记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政府乡长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任双组长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的政务公开、政府信息公开工作领导小组，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明确责任分工，压实责任，制定相关制度，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拓宽信息公开渠道，进一步提升工作透明度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及时、准确地向社会公开各项工作。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主要以宣传公示栏，印制政策宣传单及省、市、县政府门户网站发布的形式公开政府信息，着力推进决策公开、执行公开、结果公开、管理公开、服务公开，有力促进了法治政府和服务型政府建设。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）主动公开政府信息情况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我乡主动公开的信息主要包括：机构设置及职能、环保系统相关政策法规、规划计划、环保行业管理信息、重点项目、环保动态等。截止2022年12月31日，我乡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）依申请公开政府信息情况。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2022年度，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骆集乡人民政府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未发生因有关政府信息公开而引发的行政复议案和行政诉讼案，未收到各类有关本单位政府信息公开事务的申诉案，也未收到公民、法人或其他组织提出的政府信息公开申请。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进一步强化公开保密审查制度，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积极主动公开，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严格执行“谁公开、谁审查、谁负责、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事一审”等保密审查规定，完善政府信息公开年度报告编制和公布制度。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（四）政府信息公开监督保障情况。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由乡纪检牵头，各科室抽调专业人员成立政府信息公开检查小组，对信息公开的时效、内容、程序进行核查，及时通报整改，同时做好接受上级部门检查准备，保证信息公开合规合法。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23"/>
        <w:gridCol w:w="1680"/>
        <w:gridCol w:w="1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cstheme="minorBidi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量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</w:t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量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2022年，骆集乡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政府信息公开工作有序推进，但政府信息公开的深度和广度还不够，重大决策信息公开方式的多样性和创新性有待进一步提升。下一步，我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将从以下几个方面进行改进：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拓展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公开方式。通过多种形式积极主动向媒体通报情况、发布消息，加大政策宣传力度。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扩大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信息公开内容。重点围绕重大决策文件、规划计划等信息探索多样化的解读方式，释放政策解读创新潜力，强化重大行政决策公开力度。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2022年度，我乡未收到依申请公开事项，未产生政府信息公开处理费用。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63511679"/>
    <w:rsid w:val="0748600C"/>
    <w:rsid w:val="0AEE2A27"/>
    <w:rsid w:val="0DD203DE"/>
    <w:rsid w:val="11935295"/>
    <w:rsid w:val="1A310B82"/>
    <w:rsid w:val="213C0011"/>
    <w:rsid w:val="21DB25BC"/>
    <w:rsid w:val="2534752B"/>
    <w:rsid w:val="265E685B"/>
    <w:rsid w:val="2AED46A6"/>
    <w:rsid w:val="2D012636"/>
    <w:rsid w:val="2D6055AE"/>
    <w:rsid w:val="31E04EAA"/>
    <w:rsid w:val="3946084D"/>
    <w:rsid w:val="47060B1D"/>
    <w:rsid w:val="4A8F6424"/>
    <w:rsid w:val="534529CD"/>
    <w:rsid w:val="63511679"/>
    <w:rsid w:val="65796B91"/>
    <w:rsid w:val="6DCB12A1"/>
    <w:rsid w:val="74962C31"/>
    <w:rsid w:val="76407CF4"/>
    <w:rsid w:val="78886D34"/>
    <w:rsid w:val="7BE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1497</Words>
  <Characters>1531</Characters>
  <Lines>0</Lines>
  <Paragraphs>0</Paragraphs>
  <TotalTime>119</TotalTime>
  <ScaleCrop>false</ScaleCrop>
  <LinksUpToDate>false</LinksUpToDate>
  <CharactersWithSpaces>1710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2023-01-11T01:56:00Z</dcterms:created>
  <dc:creator>LENOVO</dc:creator>
  <cp:lastModifiedBy>李想</cp:lastModifiedBy>
  <dcterms:modified xsi:type="dcterms:W3CDTF">2024-01-02T07:45:54Z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9B9EF1CA8D054D488ED73FBF5C2D1AFA</vt:lpwstr>
  </property>
</Properties>
</file>