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夏邑县应急管理局廉洁审批制度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　   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夏邑县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负责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行政审批业务的全体干部职工都要自觉抵制腐败现象，发扬为政清廉的优良作风。不搞特权，不以权谋私，不假公济私，不行贿受贿，不接受馈赠和变相馈赠的物品。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二、要发扬艰苦奋斗、勤俭节约的优良传统，不奢侈浪费，不接受公款招待、业务户吃请，不违反财务规定。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三、因工下企业不准吃请，不准索要物品，不准接受土特产品。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四、认真落实岗位目标责任制，遵纪守法，履行职责，严格工作纪律，认真完成各项工作任务。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五、实行政务公开，增强工作透明度，自觉接受社会和群众监督。</w:t>
      </w:r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ZTczOWE2MGIzMTE4NzM1Y2U1ZThkNTZlZTY2MTQifQ=="/>
  </w:docVars>
  <w:rsids>
    <w:rsidRoot w:val="00000000"/>
    <w:rsid w:val="2E007C47"/>
    <w:rsid w:val="744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2023-11-22T06:45:00Z</dcterms:created>
  <dc:creator>Administrator</dc:creator>
  <cp:lastModifiedBy>①如Ji往</cp:lastModifiedBy>
  <dcterms:modified xsi:type="dcterms:W3CDTF">2024-01-04T07:20:46Z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934DD78564714748AAFBC4A42D4C875F_12</vt:lpwstr>
  </property>
</Properties>
</file>