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lang w:val="en-US" w:eastAsia="zh-CN"/>
        </w:rPr>
        <w:t>自然资源</w:t>
      </w:r>
      <w:r>
        <w:rPr>
          <w:rFonts w:hint="eastAsia" w:ascii="方正小标宋_GBK" w:hAnsi="方正小标宋_GBK" w:eastAsia="方正小标宋_GBK"/>
          <w:b w:val="0"/>
          <w:bCs w:val="0"/>
          <w:sz w:val="30"/>
        </w:rPr>
        <w:t>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786" w:type="dxa"/>
            <w:vMerge w:val="continue"/>
            <w:noWrap w:val="0"/>
            <w:vAlign w:val="center"/>
          </w:tcPr>
          <w:p>
            <w:pPr>
              <w:widowControl/>
              <w:jc w:val="left"/>
              <w:rPr>
                <w:rFonts w:ascii="黑体" w:hAnsi="宋体" w:eastAsia="黑体" w:cs="宋体"/>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noWrap w:val="0"/>
            <w:vAlign w:val="center"/>
          </w:tcPr>
          <w:p>
            <w:pPr>
              <w:rPr>
                <w:rFonts w:hint="eastAsia" w:ascii="仿宋_GB2312" w:hAnsi="宋体" w:eastAsia="仿宋_GB2312" w:cs="Times New Roman"/>
                <w:b w:val="0"/>
                <w:bCs w:val="0"/>
                <w:color w:val="000000"/>
                <w:kern w:val="2"/>
                <w:sz w:val="18"/>
                <w:szCs w:val="18"/>
                <w:lang w:val="en-US" w:eastAsia="zh-CN" w:bidi="ar-SA"/>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noWrap w:val="0"/>
            <w:vAlign w:val="center"/>
          </w:tcPr>
          <w:p>
            <w:pPr>
              <w:rPr>
                <w:rFonts w:hint="eastAsia" w:ascii="仿宋_GB2312" w:hAnsi="宋体" w:eastAsia="仿宋_GB2312" w:cs="Times New Roman"/>
                <w:b w:val="0"/>
                <w:bCs w:val="0"/>
                <w:color w:val="000000"/>
                <w:kern w:val="2"/>
                <w:sz w:val="18"/>
                <w:szCs w:val="18"/>
                <w:lang w:val="en-US" w:eastAsia="zh-CN" w:bidi="ar-SA"/>
              </w:rPr>
            </w:pPr>
            <w:r>
              <w:rPr>
                <w:rFonts w:hint="eastAsia" w:ascii="仿宋_GB2312" w:hAnsi="宋体" w:eastAsia="仿宋_GB2312" w:cs="Times New Roman"/>
                <w:b w:val="0"/>
                <w:bCs w:val="0"/>
                <w:color w:val="000000"/>
                <w:kern w:val="2"/>
                <w:sz w:val="18"/>
                <w:szCs w:val="18"/>
                <w:lang w:val="en-US" w:eastAsia="zh-CN" w:bidi="ar-SA"/>
              </w:rPr>
              <w:t xml:space="preserve">■政府网站    </w:t>
            </w:r>
          </w:p>
          <w:p>
            <w:pPr>
              <w:rPr>
                <w:rFonts w:hint="eastAsia" w:ascii="仿宋_GB2312" w:hAnsi="宋体" w:eastAsia="仿宋_GB2312" w:cs="Times New Roman"/>
                <w:b w:val="0"/>
                <w:bCs w:val="0"/>
                <w:color w:val="000000"/>
                <w:kern w:val="2"/>
                <w:sz w:val="18"/>
                <w:szCs w:val="18"/>
                <w:lang w:val="en-US" w:eastAsia="zh-CN" w:bidi="ar-SA"/>
              </w:rPr>
            </w:pPr>
            <w:r>
              <w:rPr>
                <w:rFonts w:hint="eastAsia" w:ascii="仿宋_GB2312" w:hAnsi="宋体" w:eastAsia="仿宋_GB2312" w:cs="Times New Roman"/>
                <w:b w:val="0"/>
                <w:bCs w:val="0"/>
                <w:color w:val="000000"/>
                <w:kern w:val="2"/>
                <w:sz w:val="18"/>
                <w:szCs w:val="18"/>
                <w:lang w:val="en-US" w:eastAsia="zh-CN" w:bidi="ar-SA"/>
              </w:rPr>
              <w:t>■乡、村公示栏</w:t>
            </w:r>
          </w:p>
        </w:tc>
        <w:tc>
          <w:tcPr>
            <w:tcW w:w="554" w:type="dxa"/>
            <w:noWrap w:val="0"/>
            <w:vAlign w:val="center"/>
          </w:tcPr>
          <w:p>
            <w:pPr>
              <w:widowControl/>
              <w:jc w:val="center"/>
              <w:rPr>
                <w:rFonts w:hint="eastAsia" w:ascii="仿宋_GB2312" w:eastAsia="仿宋_GB2312"/>
                <w:color w:val="000000"/>
                <w:sz w:val="18"/>
                <w:szCs w:val="18"/>
              </w:rPr>
            </w:pPr>
            <w:r>
              <w:rPr>
                <w:rFonts w:ascii="仿宋_GB2312" w:hAnsi="宋体" w:eastAsia="仿宋_GB2312"/>
                <w:color w:val="000000"/>
                <w:sz w:val="18"/>
                <w:szCs w:val="18"/>
              </w:rPr>
              <w:t>√</w:t>
            </w:r>
          </w:p>
        </w:tc>
        <w:tc>
          <w:tcPr>
            <w:tcW w:w="875" w:type="dxa"/>
            <w:noWrap w:val="0"/>
            <w:vAlign w:val="center"/>
          </w:tcPr>
          <w:p>
            <w:pPr>
              <w:widowControl/>
              <w:jc w:val="center"/>
              <w:rPr>
                <w:rFonts w:hint="eastAsia" w:ascii="仿宋_GB2312" w:eastAsia="仿宋_GB2312"/>
                <w:color w:val="000000"/>
                <w:sz w:val="18"/>
                <w:szCs w:val="18"/>
              </w:rPr>
            </w:pPr>
          </w:p>
        </w:tc>
        <w:tc>
          <w:tcPr>
            <w:tcW w:w="551" w:type="dxa"/>
            <w:noWrap w:val="0"/>
            <w:vAlign w:val="center"/>
          </w:tcPr>
          <w:p>
            <w:pPr>
              <w:widowControl/>
              <w:jc w:val="center"/>
              <w:rPr>
                <w:rFonts w:hint="eastAsia" w:ascii="仿宋_GB2312"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hint="eastAsia"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noWrap w:val="0"/>
            <w:vAlign w:val="center"/>
          </w:tcPr>
          <w:p>
            <w:pPr>
              <w:rPr>
                <w:rFonts w:hint="eastAsia"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jc w:val="center"/>
              <w:rPr>
                <w:rFonts w:hint="eastAsia" w:ascii="仿宋_GB2312" w:eastAsia="仿宋_GB2312"/>
                <w:color w:val="000000"/>
                <w:sz w:val="18"/>
                <w:szCs w:val="18"/>
              </w:rPr>
            </w:pPr>
            <w:r>
              <w:rPr>
                <w:rFonts w:ascii="仿宋_GB2312" w:hAnsi="宋体" w:eastAsia="仿宋_GB2312"/>
                <w:color w:val="000000"/>
                <w:sz w:val="18"/>
                <w:szCs w:val="18"/>
              </w:rPr>
              <w:t>√</w:t>
            </w:r>
          </w:p>
        </w:tc>
        <w:tc>
          <w:tcPr>
            <w:tcW w:w="875" w:type="dxa"/>
            <w:noWrap w:val="0"/>
            <w:vAlign w:val="center"/>
          </w:tcPr>
          <w:p>
            <w:pPr>
              <w:widowControl/>
              <w:jc w:val="center"/>
              <w:rPr>
                <w:rFonts w:hint="eastAsia" w:ascii="仿宋_GB2312" w:eastAsia="仿宋_GB2312"/>
                <w:color w:val="000000"/>
                <w:sz w:val="18"/>
                <w:szCs w:val="18"/>
              </w:rPr>
            </w:pPr>
          </w:p>
        </w:tc>
        <w:tc>
          <w:tcPr>
            <w:tcW w:w="551" w:type="dxa"/>
            <w:vMerge w:val="restart"/>
            <w:noWrap w:val="0"/>
            <w:vAlign w:val="center"/>
          </w:tcPr>
          <w:p>
            <w:pPr>
              <w:widowControl/>
              <w:jc w:val="center"/>
              <w:rPr>
                <w:rFonts w:hint="eastAsia" w:ascii="仿宋_GB2312" w:eastAsia="仿宋_GB2312"/>
                <w:color w:val="000000"/>
                <w:sz w:val="18"/>
                <w:szCs w:val="18"/>
              </w:rPr>
            </w:pPr>
            <w:r>
              <w:rPr>
                <w:rFonts w:ascii="仿宋_GB2312" w:hAnsi="宋体" w:eastAsia="仿宋_GB2312"/>
                <w:color w:val="000000"/>
                <w:sz w:val="18"/>
                <w:szCs w:val="18"/>
              </w:rPr>
              <w:t>√</w:t>
            </w:r>
          </w:p>
        </w:tc>
        <w:tc>
          <w:tcPr>
            <w:tcW w:w="720" w:type="dxa"/>
            <w:vMerge w:val="restart"/>
            <w:noWrap w:val="0"/>
            <w:vAlign w:val="center"/>
          </w:tcPr>
          <w:p>
            <w:pPr>
              <w:widowControl/>
              <w:jc w:val="center"/>
              <w:rPr>
                <w:rFonts w:hint="eastAsia" w:ascii="仿宋_GB2312" w:eastAsia="仿宋_GB2312"/>
                <w:color w:val="000000"/>
                <w:sz w:val="18"/>
                <w:szCs w:val="18"/>
              </w:rPr>
            </w:pPr>
          </w:p>
        </w:tc>
        <w:tc>
          <w:tcPr>
            <w:tcW w:w="720" w:type="dxa"/>
            <w:vMerge w:val="restart"/>
            <w:noWrap w:val="0"/>
            <w:vAlign w:val="center"/>
          </w:tcPr>
          <w:p>
            <w:pPr>
              <w:widowControl/>
              <w:jc w:val="center"/>
              <w:rPr>
                <w:rFonts w:hint="eastAsia" w:ascii="仿宋_GB2312" w:eastAsia="仿宋_GB2312"/>
                <w:color w:val="000000"/>
                <w:sz w:val="18"/>
                <w:szCs w:val="18"/>
              </w:rPr>
            </w:pPr>
          </w:p>
        </w:tc>
        <w:tc>
          <w:tcPr>
            <w:tcW w:w="720" w:type="dxa"/>
            <w:vMerge w:val="restart"/>
            <w:noWrap w:val="0"/>
            <w:vAlign w:val="center"/>
          </w:tcPr>
          <w:p>
            <w:pPr>
              <w:widowControl/>
              <w:jc w:val="center"/>
              <w:rPr>
                <w:rFonts w:hint="eastAsia" w:ascii="仿宋_GB2312"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pPr>
              <w:widowControl/>
              <w:jc w:val="left"/>
              <w:rPr>
                <w:rFonts w:hint="eastAsia" w:ascii="仿宋_GB2312" w:eastAsia="仿宋_GB2312"/>
                <w:color w:val="000000"/>
                <w:sz w:val="18"/>
                <w:szCs w:val="18"/>
              </w:rPr>
            </w:pPr>
          </w:p>
        </w:tc>
        <w:tc>
          <w:tcPr>
            <w:tcW w:w="1260" w:type="dxa"/>
            <w:vMerge w:val="continue"/>
            <w:noWrap w:val="0"/>
            <w:vAlign w:val="center"/>
          </w:tcPr>
          <w:p>
            <w:pPr>
              <w:widowControl/>
              <w:rPr>
                <w:rFonts w:hint="eastAsia" w:ascii="仿宋_GB2312" w:eastAsia="仿宋_GB2312"/>
                <w:color w:val="000000"/>
                <w:sz w:val="18"/>
                <w:szCs w:val="18"/>
              </w:rPr>
            </w:pP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rPr>
                <w:rFonts w:hint="eastAsia" w:ascii="仿宋_GB2312" w:eastAsia="仿宋_GB2312"/>
                <w:color w:val="000000"/>
                <w:sz w:val="18"/>
                <w:szCs w:val="18"/>
              </w:rPr>
            </w:pPr>
          </w:p>
        </w:tc>
        <w:tc>
          <w:tcPr>
            <w:tcW w:w="1786"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noWrap w:val="0"/>
            <w:vAlign w:val="center"/>
          </w:tcPr>
          <w:p>
            <w:pPr>
              <w:rPr>
                <w:rFonts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pPr>
              <w:rPr>
                <w:rFonts w:hint="eastAsia" w:ascii="仿宋_GB2312" w:eastAsia="仿宋_GB2312"/>
                <w:color w:val="000000"/>
                <w:sz w:val="18"/>
                <w:szCs w:val="18"/>
              </w:rPr>
            </w:pPr>
          </w:p>
        </w:tc>
        <w:tc>
          <w:tcPr>
            <w:tcW w:w="1260" w:type="dxa"/>
            <w:vMerge w:val="continue"/>
            <w:noWrap w:val="0"/>
            <w:vAlign w:val="center"/>
          </w:tcPr>
          <w:p>
            <w:pPr>
              <w:widowControl/>
              <w:rPr>
                <w:rFonts w:ascii="仿宋_GB2312" w:eastAsia="仿宋_GB2312"/>
                <w:color w:val="000000"/>
                <w:sz w:val="18"/>
                <w:szCs w:val="18"/>
              </w:rPr>
            </w:pPr>
          </w:p>
        </w:tc>
        <w:tc>
          <w:tcPr>
            <w:tcW w:w="1980" w:type="dxa"/>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1786"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noWrap w:val="0"/>
            <w:vAlign w:val="center"/>
          </w:tcPr>
          <w:p>
            <w:pPr>
              <w:rPr>
                <w:rFonts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spacing w:line="320" w:lineRule="exact"/>
              <w:jc w:val="center"/>
              <w:rPr>
                <w:rFonts w:ascii="仿宋_GB2312" w:eastAsia="仿宋_GB2312"/>
                <w:color w:val="000000"/>
                <w:sz w:val="18"/>
                <w:szCs w:val="18"/>
              </w:rPr>
            </w:pPr>
          </w:p>
        </w:tc>
        <w:tc>
          <w:tcPr>
            <w:tcW w:w="2714" w:type="dxa"/>
            <w:vMerge w:val="continue"/>
            <w:noWrap w:val="0"/>
            <w:vAlign w:val="center"/>
          </w:tcPr>
          <w:p>
            <w:pPr>
              <w:widowControl/>
              <w:rPr>
                <w:rFonts w:ascii="仿宋_GB2312" w:eastAsia="仿宋_GB2312"/>
                <w:color w:val="000000"/>
                <w:sz w:val="18"/>
                <w:szCs w:val="18"/>
              </w:rPr>
            </w:pPr>
          </w:p>
        </w:tc>
        <w:tc>
          <w:tcPr>
            <w:tcW w:w="1260" w:type="dxa"/>
            <w:vMerge w:val="continue"/>
            <w:noWrap w:val="0"/>
            <w:vAlign w:val="center"/>
          </w:tcPr>
          <w:p>
            <w:pPr>
              <w:widowControl/>
              <w:rPr>
                <w:rFonts w:ascii="仿宋_GB2312" w:eastAsia="仿宋_GB2312"/>
                <w:color w:val="000000"/>
                <w:sz w:val="18"/>
                <w:szCs w:val="18"/>
              </w:rPr>
            </w:pPr>
          </w:p>
        </w:tc>
        <w:tc>
          <w:tcPr>
            <w:tcW w:w="198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spacing w:line="320" w:lineRule="exact"/>
              <w:jc w:val="center"/>
              <w:rPr>
                <w:rFonts w:ascii="仿宋_GB2312" w:eastAsia="仿宋_GB2312"/>
                <w:color w:val="000000"/>
                <w:sz w:val="18"/>
                <w:szCs w:val="18"/>
              </w:rPr>
            </w:pPr>
          </w:p>
        </w:tc>
        <w:tc>
          <w:tcPr>
            <w:tcW w:w="1786" w:type="dxa"/>
            <w:vMerge w:val="continue"/>
            <w:noWrap w:val="0"/>
            <w:vAlign w:val="center"/>
          </w:tcPr>
          <w:p>
            <w:pPr>
              <w:widowControl/>
              <w:rPr>
                <w:rFonts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ascii="仿宋_GB2312" w:eastAsia="仿宋_GB2312"/>
                <w:color w:val="000000"/>
                <w:sz w:val="18"/>
                <w:szCs w:val="18"/>
              </w:rPr>
            </w:pPr>
          </w:p>
        </w:tc>
        <w:tc>
          <w:tcPr>
            <w:tcW w:w="551"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noWrap w:val="0"/>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noWrap w:val="0"/>
            <w:vAlign w:val="center"/>
          </w:tcPr>
          <w:p>
            <w:pPr>
              <w:rPr>
                <w:rFonts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noWrap w:val="0"/>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pPr>
              <w:rPr>
                <w:rFonts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pPr>
              <w:rPr>
                <w:rFonts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noWrap w:val="0"/>
            <w:vAlign w:val="center"/>
          </w:tcPr>
          <w:p>
            <w:pPr>
              <w:rPr>
                <w:rFonts w:hint="eastAsia"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noWrap w:val="0"/>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noWrap w:val="0"/>
            <w:vAlign w:val="center"/>
          </w:tcPr>
          <w:p>
            <w:pPr>
              <w:rPr>
                <w:rFonts w:hint="eastAsia"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noWrap w:val="0"/>
            <w:vAlign w:val="center"/>
          </w:tcPr>
          <w:p>
            <w:pPr>
              <w:rPr>
                <w:rFonts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p>
        </w:tc>
        <w:tc>
          <w:tcPr>
            <w:tcW w:w="178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noWrap w:val="0"/>
            <w:vAlign w:val="center"/>
          </w:tcPr>
          <w:p>
            <w:pPr>
              <w:rPr>
                <w:rFonts w:hint="eastAsia" w:ascii="仿宋_GB2312" w:eastAsia="仿宋_GB2312"/>
                <w:color w:val="000000"/>
                <w:sz w:val="18"/>
                <w:szCs w:val="18"/>
              </w:rPr>
            </w:pPr>
            <w:r>
              <w:rPr>
                <w:rFonts w:hint="default" w:ascii="仿宋_GB2312" w:hAnsi="宋体" w:eastAsia="仿宋_GB2312" w:cs="Times New Roman"/>
                <w:b w:val="0"/>
                <w:bCs w:val="0"/>
                <w:color w:val="000000"/>
                <w:kern w:val="2"/>
                <w:sz w:val="18"/>
                <w:szCs w:val="18"/>
                <w:lang w:val="en-US" w:eastAsia="zh-CN" w:bidi="ar-SA"/>
              </w:rPr>
              <w:t>韩道口</w:t>
            </w:r>
            <w:r>
              <w:rPr>
                <w:rFonts w:hint="eastAsia" w:ascii="仿宋_GB2312" w:hAnsi="宋体" w:eastAsia="仿宋_GB2312" w:cs="Times New Roman"/>
                <w:b w:val="0"/>
                <w:bCs w:val="0"/>
                <w:color w:val="000000"/>
                <w:kern w:val="2"/>
                <w:sz w:val="18"/>
                <w:szCs w:val="18"/>
                <w:lang w:val="en-US" w:eastAsia="zh-CN" w:bidi="ar-SA"/>
              </w:rPr>
              <w:t>镇人民政府</w:t>
            </w:r>
            <w:bookmarkStart w:id="0" w:name="_GoBack"/>
            <w:bookmarkEnd w:id="0"/>
          </w:p>
        </w:tc>
        <w:tc>
          <w:tcPr>
            <w:tcW w:w="178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eastAsia="仿宋_GB2312"/>
                <w:color w:val="000000"/>
                <w:sz w:val="18"/>
                <w:szCs w:val="18"/>
              </w:rPr>
            </w:pPr>
            <w:r>
              <w:rPr>
                <w:rFonts w:hint="eastAsia" w:ascii="仿宋_GB2312" w:hAnsi="宋体" w:eastAsia="仿宋_GB2312"/>
                <w:color w:val="000000"/>
                <w:sz w:val="18"/>
                <w:szCs w:val="18"/>
              </w:rPr>
              <w:t>■乡、村公示栏</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roma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ZjJjMmFkZmMwMzI2YmIxZmNjMTg1ZTRmMzM5YTMifQ=="/>
  </w:docVars>
  <w:rsids>
    <w:rsidRoot w:val="73806E17"/>
    <w:rsid w:val="10FC6044"/>
    <w:rsid w:val="2BFF6CA4"/>
    <w:rsid w:val="2C1D3350"/>
    <w:rsid w:val="73806E17"/>
    <w:rsid w:val="7FFD9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2023-12-21T22:56:00Z</dcterms:created>
  <dc:creator>灼灼之灿</dc:creator>
  <cp:lastModifiedBy>ht706</cp:lastModifiedBy>
  <dcterms:modified xsi:type="dcterms:W3CDTF">2024-01-15T09:07:13Z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CAEE19D23DDC468491095BCE2312981A_13</vt:lpwstr>
  </property>
</Properties>
</file>