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7" w:tblpY="1468"/>
        <w:tblOverlap w:val="never"/>
        <w:tblW w:w="9387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1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0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distribute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lang w:val="en-US" w:eastAsia="zh-CN"/>
              </w:rPr>
              <w:t>夏邑县财政局</w:t>
            </w:r>
          </w:p>
        </w:tc>
        <w:tc>
          <w:tcPr>
            <w:tcW w:w="203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ind w:left="0" w:leftChars="0"/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夏邑县农业农村局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tabs>
                <w:tab w:val="left" w:pos="1759"/>
              </w:tabs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夏农〔2023〕7号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农业农村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  <w:r>
        <w:rPr>
          <w:rFonts w:hint="eastAsia" w:ascii="宋体" w:hAnsi="宋体" w:eastAsia="宋体"/>
          <w:color w:val="000000"/>
          <w:sz w:val="38"/>
        </w:rPr>
        <w:t xml:space="preserve"> 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财政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关于印发《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2023年耕地地力保护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补贴工作实施方案》的通知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各乡（镇）人民政府：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为做好2023年耕地地力保护补贴兑付工作，根据《《河南省2023年耕地地力保护补贴工作实施方案》（豫农文〔2023〕233）有关规定，我们制定了《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2023年耕地地力保护补贴工作实施方案》，现印发给你们，请遵照执行。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各乡（镇）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要加强组织领导，认真细致地开展工作，确保6月底前将耕地地力保护补贴资金兑付到农户手中。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夏邑县农业农村局                      夏邑县财政局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 w:ascii="宋体" w:hAnsi="宋体" w:eastAsia="宋体"/>
          <w:color w:val="000000"/>
          <w:spacing w:val="0"/>
          <w:sz w:val="28"/>
          <w:lang w:val="en-US"/>
        </w:rPr>
        <w:sectPr>
          <w:footerReference r:id="rId3" w:type="default"/>
          <w:pgSz w:w="11900" w:h="16820"/>
          <w:pgMar w:top="1440" w:right="1480" w:bottom="1440" w:left="1480" w:header="0" w:footer="152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2023年6月12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夏邑县2023年耕地地力保护补贴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为切实做好2023年耕地地力保护补贴政策落实、资金兑付工作，结合我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以习近平新时代中国特色社会主义思想为指导，深入贯彻党的二十大及二十届一中、二中全会精神，认真落实《中共中央国务院关于实施乡村振兴战略的意见》，按照稳粮增收、提质增效、创新驱动的总目标，以绿色生态为导向，优化完善惠农补贴管理长效机制，提高惠农补贴管理规范化水平、提升惠农补贴政策效能，鼓励农民综合采取秸秆还田、深松整地、科学施肥用药、病虫害绿色防控等措施，自觉保护耕地、稳步提升耕地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二、方案内容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补贴对象。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补贴对象为所有拥有耕地承包经营权的种地农民（含农场职工）。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补贴面积的界定。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补贴面积以确认的土地承包经营权确权面积为基础，尚未完成确权登记工作的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乡镇、村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以二轮承包耕地面积为基础，实行排除法进行调整，据实核减已作为畜牧养殖场使用的耕地、林地、成片粮田转为设施农业用地、非农业征（占）用耕地等已改变用途的耕地，以及长年抛荒地、占补平衡中“补”的面积和质量达不到耕种条件的耕地等不再给予补贴。经确权的国有农场耕地，根据农场职工与国有农场签订的承包、租赁等合同（协议）参照上述排除法调整后的面积兑付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（三）补贴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资金的管理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县行政区域内实行统一的补贴标准。县财政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当年未使用完的补贴资金以及上年结转资金，可在下年继续统筹安排用于耕地地力保护补贴；连续两年未用完的结转资金，应当作为结余资金管理。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具体补贴标准根据省当年下达的资金量及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总量，按照符合条件的耕地面积测算确定。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）补贴面积的核实。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会同财政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明确《耕地地力保护补贴清册》（以下简称《清册》）格式，内容应包含但不限于姓名、身份证号、补贴面积、补贴金额、社保卡号等。村委会填制《清册》，并对补贴对象、面积、金额等事项进行公示，公示时间不少于5个工作日。公示期间，要充分听取农民群众的意见，接受群众监督，发现问题及时纠正。公示无异议后，村委会将《清册》报乡镇政府。乡镇政府负责对《清册》相关事项以及公示情况进行核实，核实无误后，乡镇政府负责人对《清册》签字，并加盖公章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负责对各乡镇政府报送的《清册》内容汇总确认，组织编印全县《清册》，送同级财政部门作为发放补贴的依据。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国有农场负责对照《清册》内容做好补贴对象、面积、金额等事项的核实、公示等工作。经公示无异议后，由国有农场负责人签字加盖公章后，报送县农业农村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对国有农场报送的《清册》内容汇总确认后，送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）补贴资金的兑付。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实行“一卡通”发放，补贴资金通过惠民惠农财政补贴资金“一卡通”系统集中发放到补贴对象社保卡银行账户。代发金融机构从“一卡通”系统中获取补贴对象姓名、金额、银行账号等发放基础数据，进行打卡发放并及时反馈发放结果。发放失败的补贴资金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核实修正发放基础数据，通知代发金融机构获取数据后再次打卡发放；若遇特殊情况确实无法打卡发放的，由县农业农村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会商财政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后，通知代发金融机构将补贴资金原渠道退回。耕地地力保护补贴原则上应于当年6月30日前发放完毕。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发放耕地地力补贴是促进粮食生产的重要措施，是落实惠农政策的重要内容。按照粮食安全党政同责的要求，县人民政府要切实加强统筹协调，建立健全财政、农业农村等部门分工负责的工作机制，研究制定实施方案，层层压实责任，切实保障补贴发放工作有序进行。补贴发放工作是一项重要的政治任务，各级各有关部门要各负自责，形成合力，共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（二）明确任务分工。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负责编制实施方案，组织、指导和监督补贴面积核实、补贴信息公示等工作，汇总补贴《清册》，并做好补贴信息的归集、整理、存档。财政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负责拨付补贴资金，配合县农业农村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制定实施方案等。承担补贴资金兑付的金融机构要提高工作效率和服务质量，方便农户存取补贴资金。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（三）加强政策宣传。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耕地地力保护补贴涉及千家万户，农业农村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、财政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要加强补贴政策解读，引导基层干部特别是乡村工作人员，准确把握政策目标和管理要求。可通过宣传报道、公开公示、发放明白纸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、悬挂条幅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等渠道加强政策宣传，让农民群众广泛知晓，为补贴政策顺利实施创造良好的舆论氛围和社会环境。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00"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（四）加强监督检查。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建立监督机制，强化耕地地力保护补贴政策执行情况的监督检查，严格执行补贴信访受理制度，及时发现并纠正存在的问题。严防补贴资金“跑冒滴漏”，对骗取、贪污、挤占、挪用或违规发放等行为，依法依规严肃处理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县农业农村局政策咨询电话：0370-6262336</w:t>
      </w:r>
    </w:p>
    <w:p>
      <w:pPr>
        <w:ind w:firstLine="627" w:firstLineChars="196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县财政局政策咨询电话：0370-6219698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附件：1.夏邑县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_GB2312" w:eastAsia="仿宋_GB2312"/>
          <w:color w:val="auto"/>
          <w:sz w:val="32"/>
          <w:szCs w:val="32"/>
        </w:rPr>
        <w:t>保护补贴清册</w:t>
      </w:r>
    </w:p>
    <w:p>
      <w:pPr>
        <w:ind w:firstLine="1587" w:firstLineChars="496"/>
        <w:rPr>
          <w:rFonts w:hint="eastAsia"/>
          <w:lang w:val="en-US" w:eastAsia="zh-CN"/>
        </w:rPr>
        <w:sectPr>
          <w:headerReference r:id="rId4" w:type="default"/>
          <w:footerReference r:id="rId5" w:type="default"/>
          <w:type w:val="continuous"/>
          <w:pgSz w:w="11920" w:h="16840"/>
          <w:pgMar w:top="1440" w:right="1420" w:bottom="1440" w:left="1660" w:header="0" w:footer="1440" w:gutter="0"/>
          <w:pgNumType w:fmt="decimal" w:start="1"/>
          <w:cols w:space="720" w:num="1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2.夏邑县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保护补贴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到村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汇总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843"/>
        <w:gridCol w:w="1249"/>
        <w:gridCol w:w="1308"/>
        <w:gridCol w:w="1203"/>
        <w:gridCol w:w="195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耕地地力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保护补贴清册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乡镇政府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（公章）：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参与项目行政区划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银行类别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803" w:right="1440" w:bottom="1287" w:left="1440" w:header="851" w:footer="992" w:gutter="0"/>
          <w:pgNumType w:fmt="decimal"/>
          <w:cols w:space="720" w:num="1"/>
          <w:rtlGutter w:val="0"/>
          <w:docGrid w:type="lines" w:linePitch="314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经办人（签字）：       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乡镇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签字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tbl>
      <w:tblPr>
        <w:tblStyle w:val="5"/>
        <w:tblpPr w:leftFromText="180" w:rightFromText="180" w:vertAnchor="text" w:horzAnchor="page" w:tblpX="1739" w:tblpY="-109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夏邑县202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年耕地地力保护补贴面积到村汇总表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乡（镇）人民政府（公章）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经办人（签字）：                    乡镇长（签字）：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QyNGQ3MjVmODIwNjJhZWZhZWMzNzA2NTU1MTYifQ=="/>
  </w:docVars>
  <w:rsids>
    <w:rsidRoot w:val="51143FE0"/>
    <w:rsid w:val="014E602F"/>
    <w:rsid w:val="02B14F2B"/>
    <w:rsid w:val="0E1764D5"/>
    <w:rsid w:val="1225786B"/>
    <w:rsid w:val="166667B3"/>
    <w:rsid w:val="18ED6147"/>
    <w:rsid w:val="1D7756DE"/>
    <w:rsid w:val="25D467FB"/>
    <w:rsid w:val="28A20B55"/>
    <w:rsid w:val="2D9C3371"/>
    <w:rsid w:val="35EB1F18"/>
    <w:rsid w:val="3B4032A1"/>
    <w:rsid w:val="3FAA7196"/>
    <w:rsid w:val="46121F00"/>
    <w:rsid w:val="475B6086"/>
    <w:rsid w:val="51143FE0"/>
    <w:rsid w:val="545A022C"/>
    <w:rsid w:val="56C00890"/>
    <w:rsid w:val="576D5FA8"/>
    <w:rsid w:val="65662419"/>
    <w:rsid w:val="65D327C2"/>
    <w:rsid w:val="706A2C46"/>
    <w:rsid w:val="753E5073"/>
    <w:rsid w:val="7A8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2374</Words>
  <Characters>2443</Characters>
  <Lines>0</Lines>
  <Paragraphs>0</Paragraphs>
  <TotalTime>23</TotalTime>
  <ScaleCrop>false</ScaleCrop>
  <LinksUpToDate>false</LinksUpToDate>
  <CharactersWithSpaces>2629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2022-05-26T00:36:00Z</dcterms:created>
  <dc:creator>心有灵犀</dc:creator>
  <cp:lastModifiedBy>Administrator</cp:lastModifiedBy>
  <cp:lastPrinted>2023-05-12T07:17:00Z</cp:lastPrinted>
  <dcterms:modified xsi:type="dcterms:W3CDTF">2023-06-13T07:21:18Z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6A54E5F535B54FC78C81D00A99BDE86F</vt:lpwstr>
  </property>
</Properties>
</file>