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小标宋简体" w:hAnsi="方正小标宋简体" w:eastAsia="方正小标宋简体" w:cs="方正小标宋简体"/>
          <w:color w:val="FF0000"/>
          <w:spacing w:val="85"/>
          <w:w w:val="103"/>
          <w:kern w:val="2"/>
          <w:sz w:val="32"/>
          <w:szCs w:val="32"/>
          <w:lang w:val="en-US" w:eastAsia="zh-CN"/>
        </w:rPr>
      </w:pPr>
      <w:bookmarkStart w:id="0" w:name="_GoBack"/>
      <w:bookmarkEnd w:id="0"/>
      <w:r>
        <w:rPr>
          <w:sz w:val="84"/>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179070</wp:posOffset>
                </wp:positionV>
                <wp:extent cx="4628515" cy="2037715"/>
                <wp:effectExtent l="0" t="0" r="635" b="635"/>
                <wp:wrapNone/>
                <wp:docPr id="2" name="文本框 2"/>
                <wp:cNvGraphicFramePr/>
                <a:graphic xmlns:a="http://schemas.openxmlformats.org/drawingml/2006/main">
                  <a:graphicData uri="http://schemas.microsoft.com/office/word/2010/wordprocessingShape">
                    <wps:wsp>
                      <wps:cNvSpPr txBox="1"/>
                      <wps:spPr>
                        <a:xfrm>
                          <a:off x="0" y="0"/>
                          <a:ext cx="4628515" cy="2037715"/>
                        </a:xfrm>
                        <a:prstGeom prst="rect">
                          <a:avLst/>
                        </a:prstGeom>
                        <a:solidFill>
                          <a:srgbClr val="FFFFFF"/>
                        </a:solidFill>
                        <a:ln>
                          <a:noFill/>
                        </a:ln>
                      </wps:spPr>
                      <wps:txbx>
                        <w:txbxContent>
                          <w:p>
                            <w:pPr>
                              <w:rPr>
                                <w:rFonts w:hint="eastAsia" w:ascii="黑体" w:hAnsi="黑体" w:eastAsia="黑体" w:cs="黑体"/>
                                <w:color w:val="FF0000"/>
                                <w:w w:val="88"/>
                                <w:sz w:val="100"/>
                                <w:szCs w:val="100"/>
                                <w:lang w:val="en-US" w:eastAsia="zh-CN"/>
                              </w:rPr>
                            </w:pPr>
                            <w:r>
                              <w:rPr>
                                <w:rFonts w:hint="eastAsia" w:ascii="黑体" w:hAnsi="黑体" w:eastAsia="黑体" w:cs="黑体"/>
                                <w:color w:val="FF0000"/>
                                <w:w w:val="88"/>
                                <w:sz w:val="100"/>
                                <w:szCs w:val="100"/>
                                <w:lang w:val="en-US" w:eastAsia="zh-CN"/>
                              </w:rPr>
                              <w:t>夏邑县农业农村局</w:t>
                            </w:r>
                          </w:p>
                          <w:p>
                            <w:pPr>
                              <w:rPr>
                                <w:rFonts w:hint="eastAsia" w:ascii="黑体" w:hAnsi="黑体" w:eastAsia="黑体" w:cs="黑体"/>
                                <w:color w:val="FF0000"/>
                                <w:spacing w:val="79"/>
                                <w:sz w:val="100"/>
                                <w:szCs w:val="100"/>
                                <w:lang w:val="en-US" w:eastAsia="zh-CN"/>
                              </w:rPr>
                            </w:pPr>
                            <w:r>
                              <w:rPr>
                                <w:rFonts w:hint="eastAsia" w:ascii="黑体" w:hAnsi="黑体" w:eastAsia="黑体" w:cs="黑体"/>
                                <w:color w:val="FF0000"/>
                                <w:spacing w:val="79"/>
                                <w:sz w:val="100"/>
                                <w:szCs w:val="100"/>
                                <w:lang w:val="en-US" w:eastAsia="zh-CN"/>
                              </w:rPr>
                              <w:t>夏邑县财政局</w:t>
                            </w:r>
                          </w:p>
                        </w:txbxContent>
                      </wps:txbx>
                      <wps:bodyPr upright="1"/>
                    </wps:wsp>
                  </a:graphicData>
                </a:graphic>
              </wp:anchor>
            </w:drawing>
          </mc:Choice>
          <mc:Fallback>
            <w:pict>
              <v:shape id="_x0000_s1026" o:spid="_x0000_s1026" o:spt="202" type="#_x0000_t202" style="position:absolute;left:0pt;margin-left:-11.35pt;margin-top:14.1pt;height:160.45pt;width:364.45pt;z-index:251661312;mso-width-relative:page;mso-height-relative:page;" fillcolor="#FFFFFF" filled="t" stroked="f" coordsize="21600,21600" o:gfxdata="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13f+2AAAAAoBAAAPAAAAAAAAAAEAIAAAACIAAABkcnMvZG93bnJldi54&#10;bWxQSwECFAAUAAAACACHTuJA9HtEAMEBAAB4AwAADgAAAAAAAAABACAAAAAnAQAAZHJzL2Uyb0Rv&#10;Yy54bWxQSwUGAAAAAAYABgBZAQAAWgUAAAAA&#10;">
                <v:fill on="t" focussize="0,0"/>
                <v:stroke on="f"/>
                <v:imagedata o:title=""/>
                <o:lock v:ext="edit" aspectratio="f"/>
                <v:textbox>
                  <w:txbxContent>
                    <w:p>
                      <w:pPr>
                        <w:rPr>
                          <w:rFonts w:hint="eastAsia" w:ascii="黑体" w:hAnsi="黑体" w:eastAsia="黑体" w:cs="黑体"/>
                          <w:color w:val="FF0000"/>
                          <w:w w:val="88"/>
                          <w:sz w:val="100"/>
                          <w:szCs w:val="100"/>
                          <w:lang w:val="en-US" w:eastAsia="zh-CN"/>
                        </w:rPr>
                      </w:pPr>
                      <w:r>
                        <w:rPr>
                          <w:rFonts w:hint="eastAsia" w:ascii="黑体" w:hAnsi="黑体" w:eastAsia="黑体" w:cs="黑体"/>
                          <w:color w:val="FF0000"/>
                          <w:w w:val="88"/>
                          <w:sz w:val="100"/>
                          <w:szCs w:val="100"/>
                          <w:lang w:val="en-US" w:eastAsia="zh-CN"/>
                        </w:rPr>
                        <w:t>夏邑县农业农村局</w:t>
                      </w:r>
                    </w:p>
                    <w:p>
                      <w:pPr>
                        <w:rPr>
                          <w:rFonts w:hint="eastAsia" w:ascii="黑体" w:hAnsi="黑体" w:eastAsia="黑体" w:cs="黑体"/>
                          <w:color w:val="FF0000"/>
                          <w:spacing w:val="79"/>
                          <w:sz w:val="100"/>
                          <w:szCs w:val="100"/>
                          <w:lang w:val="en-US" w:eastAsia="zh-CN"/>
                        </w:rPr>
                      </w:pPr>
                      <w:r>
                        <w:rPr>
                          <w:rFonts w:hint="eastAsia" w:ascii="黑体" w:hAnsi="黑体" w:eastAsia="黑体" w:cs="黑体"/>
                          <w:color w:val="FF0000"/>
                          <w:spacing w:val="79"/>
                          <w:sz w:val="100"/>
                          <w:szCs w:val="100"/>
                          <w:lang w:val="en-US" w:eastAsia="zh-CN"/>
                        </w:rPr>
                        <w:t>夏邑县财政局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小标宋简体" w:hAnsi="方正小标宋简体" w:eastAsia="方正小标宋简体" w:cs="方正小标宋简体"/>
          <w:color w:val="FF0000"/>
          <w:spacing w:val="85"/>
          <w:w w:val="103"/>
          <w:kern w:val="2"/>
          <w:sz w:val="32"/>
          <w:szCs w:val="32"/>
          <w:lang w:val="en-US" w:eastAsia="zh-CN"/>
        </w:rPr>
      </w:pPr>
    </w:p>
    <w:p>
      <w:pPr>
        <w:rPr>
          <w:rFonts w:hint="default" w:ascii="方正小标宋简体" w:hAnsi="方正小标宋简体" w:eastAsia="方正小标宋简体" w:cs="方正小标宋简体"/>
          <w:color w:val="FF0000"/>
          <w:spacing w:val="85"/>
          <w:w w:val="103"/>
          <w:kern w:val="2"/>
          <w:sz w:val="32"/>
          <w:szCs w:val="32"/>
          <w:lang w:val="en-US" w:eastAsia="zh-CN"/>
        </w:rPr>
      </w:pPr>
      <w:r>
        <w:rPr>
          <w:sz w:val="84"/>
        </w:rPr>
        <mc:AlternateContent>
          <mc:Choice Requires="wps">
            <w:drawing>
              <wp:anchor distT="0" distB="0" distL="114300" distR="114300" simplePos="0" relativeHeight="251662336" behindDoc="0" locked="0" layoutInCell="1" allowOverlap="1">
                <wp:simplePos x="0" y="0"/>
                <wp:positionH relativeFrom="column">
                  <wp:posOffset>4403090</wp:posOffset>
                </wp:positionH>
                <wp:positionV relativeFrom="paragraph">
                  <wp:posOffset>220980</wp:posOffset>
                </wp:positionV>
                <wp:extent cx="1713230" cy="1503045"/>
                <wp:effectExtent l="0" t="0" r="0" b="0"/>
                <wp:wrapNone/>
                <wp:docPr id="4" name="文本框 4"/>
                <wp:cNvGraphicFramePr/>
                <a:graphic xmlns:a="http://schemas.openxmlformats.org/drawingml/2006/main">
                  <a:graphicData uri="http://schemas.microsoft.com/office/word/2010/wordprocessingShape">
                    <wps:wsp>
                      <wps:cNvSpPr txBox="1"/>
                      <wps:spPr>
                        <a:xfrm>
                          <a:off x="5356860" y="1458595"/>
                          <a:ext cx="1713230" cy="1503045"/>
                        </a:xfrm>
                        <a:prstGeom prst="rect">
                          <a:avLst/>
                        </a:prstGeom>
                        <a:solidFill>
                          <a:srgbClr val="FFFFFF">
                            <a:alpha val="0"/>
                          </a:srgbClr>
                        </a:solidFill>
                        <a:ln w="6350">
                          <a:noFill/>
                        </a:ln>
                        <a:effectLst/>
                      </wps:spPr>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FF0000"/>
                                <w:sz w:val="120"/>
                                <w:szCs w:val="120"/>
                                <w:lang w:val="en-US" w:eastAsia="zh-CN"/>
                              </w:rPr>
                            </w:pPr>
                            <w:r>
                              <w:rPr>
                                <w:rFonts w:hint="eastAsia" w:ascii="黑体" w:hAnsi="黑体" w:eastAsia="黑体" w:cs="黑体"/>
                                <w:color w:val="FF0000"/>
                                <w:spacing w:val="-23"/>
                                <w:w w:val="80"/>
                                <w:sz w:val="144"/>
                                <w:szCs w:val="14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7pt;margin-top:17.4pt;height:118.35pt;width:134.9pt;z-index:251662336;mso-width-relative:page;mso-height-relative:page;" fillcolor="#FFFFFF" filled="t" stroked="f" coordsize="21600,21600" o:gfxdata="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I/rqtoAAAAKAQAADwAAAAAAAAABACAAAAAiAAAAZHJzL2Rvd25y&#10;ZXYueG1sUEsBAhQAFAAAAAgAh07iQJLok61uAgAAxwQAAA4AAAAAAAAAAQAgAAAAKQEAAGRycy9l&#10;Mm9Eb2MueG1sUEsFBgAAAAAGAAYAWQEAAAkGAAAAAA==&#10;">
                <v:fill on="t" opacity="0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FF0000"/>
                          <w:sz w:val="120"/>
                          <w:szCs w:val="120"/>
                          <w:lang w:val="en-US" w:eastAsia="zh-CN"/>
                        </w:rPr>
                      </w:pPr>
                      <w:r>
                        <w:rPr>
                          <w:rFonts w:hint="eastAsia" w:ascii="黑体" w:hAnsi="黑体" w:eastAsia="黑体" w:cs="黑体"/>
                          <w:color w:val="FF0000"/>
                          <w:spacing w:val="-23"/>
                          <w:w w:val="80"/>
                          <w:sz w:val="144"/>
                          <w:szCs w:val="144"/>
                          <w:lang w:val="en-US" w:eastAsia="zh-CN"/>
                        </w:rPr>
                        <w:t>文件</w:t>
                      </w:r>
                    </w:p>
                  </w:txbxContent>
                </v:textbox>
              </v:shape>
            </w:pict>
          </mc:Fallback>
        </mc:AlternateContent>
      </w:r>
    </w:p>
    <w:p>
      <w:pPr>
        <w:rPr>
          <w:rFonts w:hint="default" w:ascii="方正小标宋简体" w:hAnsi="方正小标宋简体" w:eastAsia="方正小标宋简体" w:cs="方正小标宋简体"/>
          <w:color w:val="FF0000"/>
          <w:spacing w:val="85"/>
          <w:w w:val="103"/>
          <w:kern w:val="2"/>
          <w:sz w:val="32"/>
          <w:szCs w:val="32"/>
          <w:lang w:val="en-US" w:eastAsia="zh-CN"/>
        </w:rPr>
      </w:pPr>
    </w:p>
    <w:p>
      <w:pPr>
        <w:rPr>
          <w:rFonts w:hint="default" w:ascii="方正小标宋简体" w:hAnsi="方正小标宋简体" w:eastAsia="方正小标宋简体" w:cs="方正小标宋简体"/>
          <w:color w:val="FF0000"/>
          <w:spacing w:val="85"/>
          <w:w w:val="103"/>
          <w:kern w:val="2"/>
          <w:sz w:val="32"/>
          <w:szCs w:val="32"/>
          <w:lang w:val="en-US" w:eastAsia="zh-CN"/>
        </w:rPr>
      </w:pPr>
    </w:p>
    <w:p>
      <w:pPr>
        <w:rPr>
          <w:rFonts w:hint="default" w:ascii="方正小标宋简体" w:hAnsi="方正小标宋简体" w:eastAsia="方正小标宋简体" w:cs="方正小标宋简体"/>
          <w:color w:val="FF0000"/>
          <w:spacing w:val="85"/>
          <w:w w:val="103"/>
          <w:kern w:val="2"/>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夏农</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default" w:ascii="仿宋" w:hAnsi="仿宋" w:eastAsia="仿宋" w:cs="仿宋"/>
          <w:color w:val="auto"/>
          <w:sz w:val="32"/>
          <w:szCs w:val="32"/>
          <w:lang w:val="en-US"/>
        </w:rPr>
        <w:t>27</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-274955</wp:posOffset>
                </wp:positionH>
                <wp:positionV relativeFrom="paragraph">
                  <wp:posOffset>108585</wp:posOffset>
                </wp:positionV>
                <wp:extent cx="6200775" cy="635"/>
                <wp:effectExtent l="0" t="12065" r="9525" b="15875"/>
                <wp:wrapNone/>
                <wp:docPr id="3" name="直接连接符 3"/>
                <wp:cNvGraphicFramePr/>
                <a:graphic xmlns:a="http://schemas.openxmlformats.org/drawingml/2006/main">
                  <a:graphicData uri="http://schemas.microsoft.com/office/word/2010/wordprocessingShape">
                    <wps:wsp>
                      <wps:cNvCnPr/>
                      <wps:spPr>
                        <a:xfrm>
                          <a:off x="0" y="0"/>
                          <a:ext cx="6200775" cy="635"/>
                        </a:xfrm>
                        <a:prstGeom prst="line">
                          <a:avLst/>
                        </a:prstGeom>
                        <a:ln w="24129"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5pt;margin-top:8.55pt;height:0.05pt;width:488.25pt;z-index:251660288;mso-width-relative:page;mso-height-relative:page;" filled="f" stroked="t" coordsize="21600,21600" o:gfxdata="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Dm/XdcAAAAJAQAADwAAAAAAAAABACAAAAAiAAAAZHJzL2Rvd25yZXYueG1s&#10;UEsBAhQAFAAAAAgAh07iQHoWfcT5AQAA5wMAAA4AAAAAAAAAAQAgAAAAJgEAAGRycy9lMm9Eb2Mu&#10;eG1sUEsFBgAAAAAGAAYAWQEAAJEFAAAAAA==&#10;">
                <v:fill on="f" focussize="0,0"/>
                <v:stroke weight="1.89992125984252pt" color="#FF0000" joinstyle="round"/>
                <v:imagedata o:title=""/>
                <o:lock v:ext="edit" aspectratio="f"/>
              </v:line>
            </w:pict>
          </mc:Fallback>
        </mc:AlternateContent>
      </w:r>
    </w:p>
    <w:p>
      <w:pPr>
        <w:pStyle w:val="15"/>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夏邑县农业农村局 夏邑县财政局</w:t>
      </w:r>
    </w:p>
    <w:p>
      <w:pPr>
        <w:pStyle w:val="15"/>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关于印发《夏邑县2024年耕地地力保护</w:t>
      </w:r>
    </w:p>
    <w:p>
      <w:pPr>
        <w:pStyle w:val="15"/>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补贴工作实施方案》的通知</w:t>
      </w:r>
    </w:p>
    <w:p>
      <w:pPr>
        <w:pStyle w:val="15"/>
        <w:ind w:left="0" w:leftChars="0" w:firstLine="0" w:firstLineChars="0"/>
        <w:jc w:val="both"/>
        <w:rPr>
          <w:rFonts w:hint="eastAsia" w:ascii="黑体" w:hAnsi="黑体" w:eastAsia="黑体" w:cs="黑体"/>
          <w:kern w:val="2"/>
          <w:sz w:val="44"/>
          <w:szCs w:val="44"/>
          <w:lang w:val="en-US" w:eastAsia="zh-CN" w:bidi="ar-SA"/>
        </w:rPr>
      </w:pPr>
    </w:p>
    <w:p>
      <w:pPr>
        <w:pStyle w:val="15"/>
        <w:ind w:left="0" w:leftChars="0" w:firstLine="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各乡（镇）人民政府：</w:t>
      </w: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做好2024年耕地地力保护补贴兑付工作，根据《《河南省2023年耕地地力保护补贴工作实施方案》（豫农文〔2023〕233）有关规定，我们制定了《夏邑县2024年耕地地力保护补贴工作实施方案》，现印发给你们，请遵照执行。各乡（镇）要加强组织领导，认真细致地开展工作，确保6月底前将耕地地力保护补贴资金兑付到农户手中。</w:t>
      </w:r>
    </w:p>
    <w:p>
      <w:pPr>
        <w:pStyle w:val="15"/>
        <w:ind w:left="0" w:leftChars="0" w:firstLine="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附件：夏邑县2024年耕地地力保护补贴工作实施方案</w:t>
      </w:r>
    </w:p>
    <w:p>
      <w:pPr>
        <w:pStyle w:val="15"/>
        <w:ind w:left="0" w:leftChars="0" w:firstLine="0" w:firstLineChars="0"/>
        <w:jc w:val="both"/>
        <w:rPr>
          <w:rFonts w:hint="eastAsia" w:ascii="仿宋" w:hAnsi="仿宋" w:eastAsia="仿宋" w:cs="仿宋"/>
          <w:kern w:val="2"/>
          <w:sz w:val="32"/>
          <w:szCs w:val="32"/>
          <w:lang w:val="en-US" w:eastAsia="zh-CN" w:bidi="ar-SA"/>
        </w:rPr>
      </w:pPr>
    </w:p>
    <w:p>
      <w:pPr>
        <w:pStyle w:val="15"/>
        <w:ind w:left="0" w:leftChars="0" w:firstLine="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夏邑县农业农村局                      夏邑县财政局          </w:t>
      </w:r>
    </w:p>
    <w:p>
      <w:pPr>
        <w:pStyle w:val="15"/>
        <w:ind w:left="0" w:leftChars="0" w:firstLine="5760" w:firstLineChars="18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2024年5月12日</w:t>
      </w:r>
    </w:p>
    <w:p>
      <w:pPr>
        <w:pStyle w:val="15"/>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夏邑县2024年耕地地力保护补贴</w:t>
      </w:r>
    </w:p>
    <w:p>
      <w:pPr>
        <w:pStyle w:val="15"/>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工作实施方案</w:t>
      </w:r>
    </w:p>
    <w:p>
      <w:pPr>
        <w:pStyle w:val="15"/>
        <w:ind w:left="0" w:leftChars="0" w:firstLine="0" w:firstLineChars="0"/>
        <w:jc w:val="both"/>
        <w:rPr>
          <w:rFonts w:hint="eastAsia" w:ascii="仿宋" w:hAnsi="仿宋" w:eastAsia="仿宋" w:cs="仿宋"/>
          <w:kern w:val="2"/>
          <w:sz w:val="32"/>
          <w:szCs w:val="32"/>
          <w:lang w:val="en-US" w:eastAsia="zh-CN" w:bidi="ar-SA"/>
        </w:rPr>
      </w:pP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为切实做好2024年耕地地力保护补贴政策落实、资金兑付工作，结合我县实际，制定本实施方案。</w:t>
      </w:r>
    </w:p>
    <w:p>
      <w:pPr>
        <w:pStyle w:val="15"/>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一、指导思想</w:t>
      </w: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习近平新时代中国特色社会主义思想为指导，深入贯彻党的二十大会议精神，认真落实《中共中央国务院关于实施乡村振兴战略的意见》，按照稳粮增收、提质增效、创新驱动的总目标，以绿色生态为导向，优化完善惠农补贴管理长效机制，提高惠农补贴管理规范化水平、提升惠农补贴政策效能，鼓励农民综合采取秸秆还田、深松整地、科学施肥用药、病虫害绿色防控等措施，自觉保护耕地、稳步提升耕地质量。</w:t>
      </w:r>
    </w:p>
    <w:p>
      <w:pPr>
        <w:pStyle w:val="15"/>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二、方案内容</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（一）补贴对象。</w:t>
      </w:r>
      <w:r>
        <w:rPr>
          <w:rFonts w:hint="eastAsia" w:ascii="仿宋" w:hAnsi="仿宋" w:eastAsia="仿宋" w:cs="仿宋"/>
          <w:kern w:val="2"/>
          <w:sz w:val="32"/>
          <w:szCs w:val="32"/>
          <w:lang w:val="en-US" w:eastAsia="zh-CN" w:bidi="ar-SA"/>
        </w:rPr>
        <w:t>补贴对象为所有拥有耕地承包经营权的种地农民（含农场职工）。</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（二）补贴面积的界定。</w:t>
      </w:r>
      <w:r>
        <w:rPr>
          <w:rFonts w:hint="eastAsia" w:ascii="仿宋" w:hAnsi="仿宋" w:eastAsia="仿宋" w:cs="仿宋"/>
          <w:kern w:val="2"/>
          <w:sz w:val="32"/>
          <w:szCs w:val="32"/>
          <w:lang w:val="en-US" w:eastAsia="zh-CN" w:bidi="ar-SA"/>
        </w:rPr>
        <w:t>补贴面积以确认的土地承包经营权确权面积为基础，尚未完成确权登记工作的乡镇、村以二轮承包耕地面积为基础，实行排除法进行调整，据实核减已作为畜牧养殖场使用的耕地、林地、成片粮田转为设施农业用地、非农业征（占）用耕地等已改变用途的耕地，以及长年抛荒地、占补平衡中“补”的面积和质量达不到耕种条件的耕地等不再给予补贴。经确权的国有农场耕地，根据农场职工与国有农场签订的承包、租赁等合同（协议）参照上述排除法调整后的面积兑付补贴资金。</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（三）补贴资金的管理。</w:t>
      </w:r>
      <w:r>
        <w:rPr>
          <w:rFonts w:hint="eastAsia" w:ascii="仿宋" w:hAnsi="仿宋" w:eastAsia="仿宋" w:cs="仿宋"/>
          <w:kern w:val="2"/>
          <w:sz w:val="32"/>
          <w:szCs w:val="32"/>
          <w:lang w:val="en-US" w:eastAsia="zh-CN" w:bidi="ar-SA"/>
        </w:rPr>
        <w:t>县行政区域内实行统一的补贴标准。县财政当年未使用完的补贴资金以及上年结转资金，可在下年继续统筹安排用于耕地地力保护补贴；连续两年未用完的结转资金，应当作为结余资金管理。具体补贴标准根据省当年下达的资金量及当年未使用完的补贴资金以及上年结转资金总量，按照符合条件的耕地面积测算确定。</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（四）补贴面积的核实。</w:t>
      </w:r>
      <w:r>
        <w:rPr>
          <w:rFonts w:hint="eastAsia" w:ascii="仿宋" w:hAnsi="仿宋" w:eastAsia="仿宋" w:cs="仿宋"/>
          <w:kern w:val="2"/>
          <w:sz w:val="32"/>
          <w:szCs w:val="32"/>
          <w:lang w:val="en-US" w:eastAsia="zh-CN" w:bidi="ar-SA"/>
        </w:rPr>
        <w:t>县农业农村局会同财政局明确《耕地地力保护补贴清册》（以下简称《清册》）格式，内容应包含但不限于姓名、身份证号、补贴面积、补贴金额、社保卡号等。村委会填制《清册》，并对补贴对象、面积、金额等事项进行公示，公示时间不少于5个工作日。公示期间，要充分听取农民群众的意见，接受群众监督，发现问题及时纠正。公示无异议后，村委会将《清册》报乡镇政府。乡镇政府负责对《清册》相关事项以及公示情况进行核实，核实无误后，乡镇政府负责人对《清册》签字，并加盖公章，报送县农业农村局。县农业农村局负责对各乡镇政府报送的《清册》内容汇总确认，组织编印全县《清册》，送同级财政部门作为发放补贴的依据。</w:t>
      </w: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国有农场负责对照《清册》内容做好补贴对象、面积、金额等事项的核实、公示等工作。经公示无异议后，由国有农场负责人签字加盖公章后，报送县农业农村局。县农业农村局对国有农场报送的《清册》内容汇总确认后，送县财政局作为发放补贴的依据。</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（五）补贴资金的兑付</w:t>
      </w:r>
      <w:r>
        <w:rPr>
          <w:rFonts w:hint="eastAsia" w:ascii="仿宋" w:hAnsi="仿宋" w:eastAsia="仿宋" w:cs="仿宋"/>
          <w:kern w:val="2"/>
          <w:sz w:val="32"/>
          <w:szCs w:val="32"/>
          <w:lang w:val="en-US" w:eastAsia="zh-CN" w:bidi="ar-SA"/>
        </w:rPr>
        <w:t>。耕地地力保护补贴实行“一卡通”发放，补贴资金通过惠民惠农财政补贴资金“一卡通”系统集中发放到补贴对象社保卡银行账户。代发金融机构从“一卡通”系统中获取补贴对象姓名、金额、银行账号等发放基础数据，进行打卡发放并及时反馈发放结果。发放失败的补贴资金，由县农业农村局核实修正发放基础数据，通知代发金融机构获取数据后再次打卡发放；若遇特殊情况确实无法打卡发放的，由县农业农村局会商财政局后，通知代发金融机构将补贴资金原渠道退回。耕地地力保护补贴原则上应于当年6月30日前发放完毕。</w:t>
      </w:r>
    </w:p>
    <w:p>
      <w:pPr>
        <w:pStyle w:val="15"/>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三、工作要求</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（一）强化组织领导。</w:t>
      </w:r>
      <w:r>
        <w:rPr>
          <w:rFonts w:hint="eastAsia" w:ascii="仿宋" w:hAnsi="仿宋" w:eastAsia="仿宋" w:cs="仿宋"/>
          <w:kern w:val="2"/>
          <w:sz w:val="32"/>
          <w:szCs w:val="32"/>
          <w:lang w:val="en-US" w:eastAsia="zh-CN" w:bidi="ar-SA"/>
        </w:rPr>
        <w:t>发放耕地地力补贴是促进粮食生产的重要措施，是落实惠农政策的重要内容。按照粮食安全党政同责的要求，建立健全财政、农业农村等部门分工负责的工作机制，研究制定实施方案，层层压实责任，切实保障补贴发放工作有序进行。补贴发放工作是一项重要的政治任务，各级各有关部门要各负其责，形成合力，共同抓好落实。</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（二）明确任务分工。</w:t>
      </w:r>
      <w:r>
        <w:rPr>
          <w:rFonts w:hint="eastAsia" w:ascii="仿宋" w:hAnsi="仿宋" w:eastAsia="仿宋" w:cs="仿宋"/>
          <w:kern w:val="2"/>
          <w:sz w:val="32"/>
          <w:szCs w:val="32"/>
          <w:lang w:val="en-US" w:eastAsia="zh-CN" w:bidi="ar-SA"/>
        </w:rPr>
        <w:t>农业农村局负责编制实施方案，组织、指导和监督补贴面积核实、补贴信息公示等工作，汇总补贴《清册》，并做好补贴信息的归集、整理、存档。财政局负责拨付补贴资金，配合县农业农村局制定实施方案等。承担补贴资金兑付的金融机构要提高工作效率和服务质量，方便农户存取补贴资金。</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（三）加强政策宣传。</w:t>
      </w:r>
      <w:r>
        <w:rPr>
          <w:rFonts w:hint="eastAsia" w:ascii="仿宋" w:hAnsi="仿宋" w:eastAsia="仿宋" w:cs="仿宋"/>
          <w:kern w:val="2"/>
          <w:sz w:val="32"/>
          <w:szCs w:val="32"/>
          <w:lang w:val="en-US" w:eastAsia="zh-CN" w:bidi="ar-SA"/>
        </w:rPr>
        <w:t>耕地地力保护补贴涉及千家万户，农业农村局、财政局要加强补贴政策解读，引导基层干部特别是乡村工作人员，准确把握政策目标和管理要求。可通过宣传报道、公开公示、发放明白纸、悬挂条幅等渠道加强政策宣传，让农民群众广泛知晓，为补贴政策顺利实施创造良好的舆论氛围和社会环境。</w:t>
      </w:r>
    </w:p>
    <w:p>
      <w:pPr>
        <w:pStyle w:val="15"/>
        <w:ind w:left="0" w:leftChars="0"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val="0"/>
          <w:kern w:val="2"/>
          <w:sz w:val="32"/>
          <w:szCs w:val="32"/>
          <w:lang w:val="en-US" w:eastAsia="zh-CN" w:bidi="ar-SA"/>
        </w:rPr>
        <w:t>（四）加强监督检查。</w:t>
      </w:r>
      <w:r>
        <w:rPr>
          <w:rFonts w:hint="eastAsia" w:ascii="仿宋" w:hAnsi="仿宋" w:eastAsia="仿宋" w:cs="仿宋"/>
          <w:kern w:val="2"/>
          <w:sz w:val="32"/>
          <w:szCs w:val="32"/>
          <w:lang w:val="en-US" w:eastAsia="zh-CN" w:bidi="ar-SA"/>
        </w:rPr>
        <w:t>要建立监督机制，强化耕地地力保护补贴政策执行情况的监督检查，严格执行补贴信访受理制度，及时发现并纠正存在的问题。严防补贴资金“跑冒滴漏”，对骗取、贪污、挤占、挪用或违规发放等行为，依法依规严肃处理。</w:t>
      </w: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县农业农村局政策咨询电话：0370-6262336</w:t>
      </w:r>
    </w:p>
    <w:p>
      <w:pPr>
        <w:pStyle w:val="15"/>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附件：1.夏邑县2024年耕地地力保护补贴清册</w:t>
      </w:r>
    </w:p>
    <w:p>
      <w:pPr>
        <w:pStyle w:val="15"/>
        <w:numPr>
          <w:ilvl w:val="0"/>
          <w:numId w:val="0"/>
        </w:numPr>
        <w:ind w:leftChars="0" w:firstLine="1600" w:firstLineChars="500"/>
        <w:jc w:val="both"/>
        <w:rPr>
          <w:rFonts w:hint="eastAsia"/>
          <w:lang w:val="en-US" w:eastAsia="zh-CN"/>
        </w:rPr>
      </w:pPr>
      <w:r>
        <w:rPr>
          <w:rFonts w:hint="eastAsia" w:ascii="仿宋" w:hAnsi="仿宋" w:eastAsia="仿宋" w:cs="仿宋"/>
          <w:kern w:val="2"/>
          <w:sz w:val="32"/>
          <w:szCs w:val="32"/>
          <w:lang w:val="en-US" w:eastAsia="zh-CN" w:bidi="ar-SA"/>
        </w:rPr>
        <w:t>2.夏邑县2024年耕地地力保护补贴到村汇总</w:t>
      </w:r>
    </w:p>
    <w:p>
      <w:pPr>
        <w:pStyle w:val="15"/>
        <w:rPr>
          <w:rFonts w:hint="eastAsia"/>
          <w:lang w:val="en-US" w:eastAsia="zh-CN"/>
        </w:rPr>
      </w:pPr>
    </w:p>
    <w:p>
      <w:pPr>
        <w:rPr>
          <w:rFonts w:hint="eastAsia"/>
          <w:lang w:val="en-US" w:eastAsia="zh-CN"/>
        </w:rPr>
        <w:sectPr>
          <w:footerReference r:id="rId3" w:type="default"/>
          <w:pgSz w:w="11906" w:h="16838"/>
          <w:pgMar w:top="1440" w:right="1463" w:bottom="1361" w:left="1463" w:header="851" w:footer="992" w:gutter="0"/>
          <w:pgNumType w:fmt="decimal" w:start="1"/>
          <w:cols w:space="425" w:num="1"/>
          <w:docGrid w:type="lines" w:linePitch="312" w:charSpace="0"/>
        </w:sectPr>
      </w:pPr>
    </w:p>
    <w:tbl>
      <w:tblPr>
        <w:tblStyle w:val="11"/>
        <w:tblpPr w:leftFromText="180" w:rightFromText="180" w:vertAnchor="text" w:horzAnchor="page" w:tblpX="1694" w:tblpY="55"/>
        <w:tblOverlap w:val="never"/>
        <w:tblW w:w="0" w:type="auto"/>
        <w:tblInd w:w="0" w:type="dxa"/>
        <w:tblLayout w:type="fixed"/>
        <w:tblCellMar>
          <w:top w:w="0" w:type="dxa"/>
          <w:left w:w="0" w:type="dxa"/>
          <w:bottom w:w="0" w:type="dxa"/>
          <w:right w:w="0" w:type="dxa"/>
        </w:tblCellMar>
      </w:tblPr>
      <w:tblGrid>
        <w:gridCol w:w="636"/>
        <w:gridCol w:w="1023"/>
        <w:gridCol w:w="2025"/>
        <w:gridCol w:w="1207"/>
        <w:gridCol w:w="905"/>
        <w:gridCol w:w="843"/>
        <w:gridCol w:w="1249"/>
        <w:gridCol w:w="1308"/>
        <w:gridCol w:w="1203"/>
        <w:gridCol w:w="1950"/>
        <w:gridCol w:w="953"/>
      </w:tblGrid>
      <w:tr>
        <w:tblPrEx>
          <w:tblCellMar>
            <w:top w:w="0" w:type="dxa"/>
            <w:left w:w="0" w:type="dxa"/>
            <w:bottom w:w="0" w:type="dxa"/>
            <w:right w:w="0" w:type="dxa"/>
          </w:tblCellMar>
        </w:tblPrEx>
        <w:trPr>
          <w:trHeight w:val="837" w:hRule="atLeast"/>
        </w:trPr>
        <w:tc>
          <w:tcPr>
            <w:tcW w:w="13302"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auto"/>
                <w:kern w:val="0"/>
                <w:sz w:val="40"/>
                <w:szCs w:val="40"/>
                <w:u w:val="none"/>
                <w:lang w:val="en-US" w:eastAsia="zh-CN" w:bidi="ar"/>
              </w:rPr>
            </w:pPr>
            <w:r>
              <w:rPr>
                <w:rFonts w:hint="eastAsia" w:ascii="仿宋" w:hAnsi="仿宋" w:eastAsia="仿宋" w:cs="仿宋"/>
                <w:b w:val="0"/>
                <w:bCs/>
                <w:i w:val="0"/>
                <w:color w:val="auto"/>
                <w:kern w:val="0"/>
                <w:sz w:val="24"/>
                <w:szCs w:val="24"/>
                <w:u w:val="none"/>
                <w:lang w:val="en-US" w:eastAsia="zh-CN" w:bidi="ar"/>
              </w:rPr>
              <w:t xml:space="preserve">附件1 </w:t>
            </w:r>
            <w:r>
              <w:rPr>
                <w:rFonts w:hint="eastAsia" w:ascii="仿宋" w:hAnsi="仿宋" w:eastAsia="仿宋" w:cs="仿宋"/>
                <w:b/>
                <w:i w:val="0"/>
                <w:color w:val="auto"/>
                <w:kern w:val="0"/>
                <w:sz w:val="40"/>
                <w:szCs w:val="40"/>
                <w:u w:val="none"/>
                <w:lang w:val="en-US" w:eastAsia="zh-CN" w:bidi="ar"/>
              </w:rPr>
              <w:t xml:space="preserve">     </w:t>
            </w:r>
          </w:p>
          <w:p>
            <w:pPr>
              <w:keepNext w:val="0"/>
              <w:keepLines w:val="0"/>
              <w:widowControl/>
              <w:suppressLineNumbers w:val="0"/>
              <w:ind w:firstLine="4337" w:firstLineChars="1200"/>
              <w:jc w:val="both"/>
              <w:textAlignment w:val="center"/>
              <w:rPr>
                <w:rFonts w:hint="eastAsia" w:ascii="仿宋" w:hAnsi="仿宋" w:eastAsia="仿宋" w:cs="仿宋"/>
                <w:b/>
                <w:i w:val="0"/>
                <w:color w:val="auto"/>
                <w:sz w:val="40"/>
                <w:szCs w:val="40"/>
                <w:u w:val="none"/>
              </w:rPr>
            </w:pPr>
            <w:r>
              <w:rPr>
                <w:rFonts w:hint="eastAsia" w:ascii="仿宋_GB2312" w:eastAsia="仿宋_GB2312"/>
                <w:b/>
                <w:bCs/>
                <w:color w:val="auto"/>
                <w:sz w:val="36"/>
                <w:szCs w:val="36"/>
              </w:rPr>
              <w:t>20</w:t>
            </w:r>
            <w:r>
              <w:rPr>
                <w:rFonts w:hint="eastAsia" w:ascii="仿宋_GB2312" w:eastAsia="仿宋_GB2312"/>
                <w:b/>
                <w:bCs/>
                <w:color w:val="auto"/>
                <w:sz w:val="36"/>
                <w:szCs w:val="36"/>
                <w:lang w:val="en-US" w:eastAsia="zh-CN"/>
              </w:rPr>
              <w:t>24</w:t>
            </w:r>
            <w:r>
              <w:rPr>
                <w:rFonts w:hint="eastAsia" w:ascii="仿宋_GB2312" w:eastAsia="仿宋_GB2312"/>
                <w:b/>
                <w:bCs/>
                <w:color w:val="auto"/>
                <w:sz w:val="36"/>
                <w:szCs w:val="36"/>
              </w:rPr>
              <w:t>年</w:t>
            </w:r>
            <w:r>
              <w:rPr>
                <w:rFonts w:hint="eastAsia" w:ascii="仿宋_GB2312" w:eastAsia="仿宋_GB2312"/>
                <w:b/>
                <w:bCs/>
                <w:color w:val="auto"/>
                <w:sz w:val="36"/>
                <w:szCs w:val="36"/>
                <w:lang w:val="en-US" w:eastAsia="zh-CN"/>
              </w:rPr>
              <w:t>耕地地力</w:t>
            </w:r>
            <w:r>
              <w:rPr>
                <w:rFonts w:hint="eastAsia" w:ascii="仿宋_GB2312" w:eastAsia="仿宋_GB2312"/>
                <w:b/>
                <w:bCs/>
                <w:color w:val="auto"/>
                <w:sz w:val="36"/>
                <w:szCs w:val="36"/>
              </w:rPr>
              <w:t>保护补贴清册</w:t>
            </w:r>
          </w:p>
        </w:tc>
      </w:tr>
      <w:tr>
        <w:tblPrEx>
          <w:tblCellMar>
            <w:top w:w="0" w:type="dxa"/>
            <w:left w:w="0" w:type="dxa"/>
            <w:bottom w:w="0" w:type="dxa"/>
            <w:right w:w="0" w:type="dxa"/>
          </w:tblCellMar>
        </w:tblPrEx>
        <w:trPr>
          <w:trHeight w:val="388" w:hRule="atLeast"/>
        </w:trPr>
        <w:tc>
          <w:tcPr>
            <w:tcW w:w="13302"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8"/>
                <w:szCs w:val="28"/>
                <w:u w:val="none"/>
              </w:rPr>
            </w:pPr>
            <w:r>
              <w:rPr>
                <w:rFonts w:hint="eastAsia" w:ascii="仿宋" w:hAnsi="仿宋" w:eastAsia="仿宋" w:cs="仿宋"/>
                <w:color w:val="auto"/>
                <w:sz w:val="24"/>
                <w:szCs w:val="24"/>
              </w:rPr>
              <w:t>乡镇政府</w:t>
            </w:r>
            <w:r>
              <w:rPr>
                <w:rFonts w:hint="eastAsia" w:ascii="仿宋" w:hAnsi="仿宋" w:eastAsia="仿宋" w:cs="仿宋"/>
                <w:i w:val="0"/>
                <w:color w:val="auto"/>
                <w:kern w:val="0"/>
                <w:sz w:val="24"/>
                <w:szCs w:val="24"/>
                <w:u w:val="none"/>
                <w:lang w:val="en-US" w:eastAsia="zh-CN" w:bidi="ar"/>
              </w:rPr>
              <w:t xml:space="preserve">（公章）：                                                                      </w:t>
            </w:r>
          </w:p>
        </w:tc>
      </w:tr>
      <w:tr>
        <w:tblPrEx>
          <w:tblCellMar>
            <w:top w:w="0" w:type="dxa"/>
            <w:left w:w="0" w:type="dxa"/>
            <w:bottom w:w="0" w:type="dxa"/>
            <w:right w:w="0" w:type="dxa"/>
          </w:tblCellMar>
        </w:tblPrEx>
        <w:trPr>
          <w:trHeight w:val="1141" w:hRule="atLeast"/>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姓名</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证件号码</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参与项目行政区划</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民族</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住址</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联系电话</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补贴面积</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银行类别</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开户姓名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银行账号</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lang w:val="en-US" w:eastAsia="zh-CN"/>
              </w:rPr>
            </w:pPr>
            <w:r>
              <w:rPr>
                <w:rFonts w:hint="eastAsia" w:ascii="黑体" w:hAnsi="宋体" w:eastAsia="黑体" w:cs="黑体"/>
                <w:i w:val="0"/>
                <w:iCs w:val="0"/>
                <w:color w:val="auto"/>
                <w:kern w:val="0"/>
                <w:sz w:val="28"/>
                <w:szCs w:val="28"/>
                <w:u w:val="none"/>
                <w:lang w:val="en-US" w:eastAsia="zh-CN" w:bidi="ar"/>
              </w:rPr>
              <w:t>备注</w:t>
            </w: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466" w:hRule="atLeast"/>
        </w:trPr>
        <w:tc>
          <w:tcPr>
            <w:tcW w:w="63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565" w:hRule="atLeast"/>
        </w:trPr>
        <w:tc>
          <w:tcPr>
            <w:tcW w:w="6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565" w:hRule="atLeast"/>
        </w:trPr>
        <w:tc>
          <w:tcPr>
            <w:tcW w:w="6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0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9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2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3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c>
          <w:tcPr>
            <w:tcW w:w="12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p>
        </w:tc>
        <w:tc>
          <w:tcPr>
            <w:tcW w:w="9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仿宋" w:hAnsi="仿宋" w:eastAsia="仿宋" w:cs="仿宋"/>
                <w:i w:val="0"/>
                <w:color w:val="auto"/>
                <w:sz w:val="22"/>
                <w:szCs w:val="22"/>
                <w:u w:val="none"/>
              </w:rPr>
            </w:pPr>
          </w:p>
        </w:tc>
      </w:tr>
    </w:tbl>
    <w:p>
      <w:pPr>
        <w:pStyle w:val="15"/>
        <w:ind w:left="0" w:leftChars="0" w:firstLine="0" w:firstLineChars="0"/>
        <w:jc w:val="both"/>
        <w:rPr>
          <w:rFonts w:hint="eastAsia"/>
          <w:lang w:val="en-US" w:eastAsia="zh-CN"/>
        </w:rPr>
      </w:pPr>
    </w:p>
    <w:p>
      <w:pPr>
        <w:ind w:firstLine="720" w:firstLineChars="300"/>
        <w:rPr>
          <w:rFonts w:hint="eastAsia" w:ascii="仿宋" w:hAnsi="仿宋" w:eastAsia="仿宋" w:cs="仿宋"/>
          <w:color w:val="auto"/>
          <w:sz w:val="32"/>
          <w:szCs w:val="32"/>
          <w:lang w:val="en-US" w:eastAsia="zh-CN"/>
        </w:rPr>
        <w:sectPr>
          <w:headerReference r:id="rId4" w:type="default"/>
          <w:footerReference r:id="rId5" w:type="default"/>
          <w:pgSz w:w="16838" w:h="11906" w:orient="landscape"/>
          <w:pgMar w:top="1803" w:right="1440" w:bottom="1287" w:left="1440" w:header="851" w:footer="992" w:gutter="0"/>
          <w:pgNumType w:fmt="decimal"/>
          <w:cols w:space="720" w:num="1"/>
          <w:rtlGutter w:val="0"/>
          <w:docGrid w:type="lines" w:linePitch="314" w:charSpace="0"/>
        </w:sectPr>
      </w:pPr>
      <w:r>
        <w:rPr>
          <w:rFonts w:hint="eastAsia" w:ascii="仿宋" w:hAnsi="仿宋" w:eastAsia="仿宋" w:cs="仿宋"/>
          <w:color w:val="auto"/>
          <w:sz w:val="24"/>
          <w:szCs w:val="24"/>
          <w:lang w:val="en-US" w:eastAsia="zh-CN"/>
        </w:rPr>
        <w:t xml:space="preserve">经办人（签字）：                                                  </w:t>
      </w:r>
      <w:r>
        <w:rPr>
          <w:rFonts w:hint="eastAsia" w:ascii="仿宋" w:hAnsi="仿宋" w:eastAsia="仿宋" w:cs="仿宋"/>
          <w:color w:val="auto"/>
          <w:sz w:val="24"/>
          <w:szCs w:val="24"/>
        </w:rPr>
        <w:t>乡镇</w:t>
      </w:r>
      <w:r>
        <w:rPr>
          <w:rFonts w:hint="eastAsia" w:ascii="仿宋" w:hAnsi="仿宋" w:eastAsia="仿宋" w:cs="仿宋"/>
          <w:color w:val="auto"/>
          <w:sz w:val="24"/>
          <w:szCs w:val="24"/>
          <w:lang w:val="en-US" w:eastAsia="zh-CN"/>
        </w:rPr>
        <w:t>长</w:t>
      </w: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w:t>
      </w:r>
    </w:p>
    <w:tbl>
      <w:tblPr>
        <w:tblStyle w:val="11"/>
        <w:tblpPr w:leftFromText="180" w:rightFromText="180" w:vertAnchor="text" w:horzAnchor="page" w:tblpX="1739" w:tblpY="-10917"/>
        <w:tblOverlap w:val="never"/>
        <w:tblW w:w="0" w:type="auto"/>
        <w:tblInd w:w="0" w:type="dxa"/>
        <w:tblLayout w:type="fixed"/>
        <w:tblCellMar>
          <w:top w:w="0" w:type="dxa"/>
          <w:left w:w="0" w:type="dxa"/>
          <w:bottom w:w="0" w:type="dxa"/>
          <w:right w:w="0" w:type="dxa"/>
        </w:tblCellMar>
      </w:tblPr>
      <w:tblGrid>
        <w:gridCol w:w="1834"/>
        <w:gridCol w:w="1814"/>
        <w:gridCol w:w="1731"/>
        <w:gridCol w:w="1648"/>
        <w:gridCol w:w="1716"/>
      </w:tblGrid>
      <w:tr>
        <w:tblPrEx>
          <w:tblCellMar>
            <w:top w:w="0" w:type="dxa"/>
            <w:left w:w="0" w:type="dxa"/>
            <w:bottom w:w="0" w:type="dxa"/>
            <w:right w:w="0" w:type="dxa"/>
          </w:tblCellMar>
        </w:tblPrEx>
        <w:trPr>
          <w:trHeight w:val="860" w:hRule="atLeast"/>
        </w:trPr>
        <w:tc>
          <w:tcPr>
            <w:tcW w:w="8743"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附件2</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夏邑县202</w:t>
            </w:r>
            <w:r>
              <w:rPr>
                <w:rFonts w:hint="eastAsia" w:ascii="宋体" w:hAnsi="宋体" w:cs="宋体"/>
                <w:b/>
                <w:i w:val="0"/>
                <w:color w:val="000000"/>
                <w:kern w:val="0"/>
                <w:sz w:val="32"/>
                <w:szCs w:val="32"/>
                <w:u w:val="none"/>
                <w:lang w:val="en-US" w:eastAsia="zh-CN" w:bidi="ar"/>
              </w:rPr>
              <w:t>4</w:t>
            </w:r>
            <w:r>
              <w:rPr>
                <w:rFonts w:hint="eastAsia" w:ascii="宋体" w:hAnsi="宋体" w:eastAsia="宋体" w:cs="宋体"/>
                <w:b/>
                <w:i w:val="0"/>
                <w:color w:val="000000"/>
                <w:kern w:val="0"/>
                <w:sz w:val="32"/>
                <w:szCs w:val="32"/>
                <w:u w:val="none"/>
                <w:lang w:val="en-US" w:eastAsia="zh-CN" w:bidi="ar"/>
              </w:rPr>
              <w:t>年耕地地力保护补贴面积到村汇总表</w:t>
            </w:r>
          </w:p>
        </w:tc>
      </w:tr>
      <w:tr>
        <w:tblPrEx>
          <w:tblCellMar>
            <w:top w:w="0" w:type="dxa"/>
            <w:left w:w="0" w:type="dxa"/>
            <w:bottom w:w="0" w:type="dxa"/>
            <w:right w:w="0" w:type="dxa"/>
          </w:tblCellMar>
        </w:tblPrEx>
        <w:trPr>
          <w:trHeight w:val="580" w:hRule="atLeast"/>
        </w:trPr>
        <w:tc>
          <w:tcPr>
            <w:tcW w:w="3648" w:type="dxa"/>
            <w:gridSpan w:val="2"/>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乡（镇）人民政府（公章） </w:t>
            </w:r>
          </w:p>
        </w:tc>
        <w:tc>
          <w:tcPr>
            <w:tcW w:w="173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8"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行政村</w:t>
            </w: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补贴面积（亩）</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总户数</w:t>
            </w: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总人口数</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备注</w:t>
            </w: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8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lang w:val="en-US" w:eastAsia="zh-CN"/>
        </w:rPr>
      </w:pPr>
      <w:r>
        <w:rPr>
          <w:rFonts w:hint="eastAsia" w:ascii="仿宋" w:hAnsi="仿宋" w:eastAsia="仿宋" w:cs="仿宋"/>
          <w:sz w:val="28"/>
          <w:szCs w:val="28"/>
          <w:lang w:val="en-US" w:eastAsia="zh-CN"/>
        </w:rPr>
        <w:t>经办人（签字）：                    乡镇长（签字）：</w:t>
      </w:r>
    </w:p>
    <w:sectPr>
      <w:pgSz w:w="11906" w:h="16838"/>
      <w:pgMar w:top="1440" w:right="1463" w:bottom="1361" w:left="1463"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tabs>
        <w:tab w:val="left" w:pos="8653"/>
        <w:tab w:val="clear" w:pos="4153"/>
      </w:tabs>
      <w:rPr>
        <w:rFonts w:hint="eastAsia" w:eastAsia="宋体"/>
        <w:lang w:eastAsia="zh-CN"/>
      </w:rPr>
    </w:pPr>
    <w:r>
      <w:rPr>
        <w:rFonts w:hint="eastAsia"/>
        <w:lang w:eastAsia="zh-CN"/>
      </w:rPr>
      <w:tab/>
    </w:r>
  </w:p>
  <w:p>
    <w:pPr>
      <w:pStyle w:val="7"/>
      <w:rPr>
        <w:rFonts w:hint="default" w:ascii="仿宋" w:hAnsi="仿宋" w:eastAsia="仿宋" w:cs="仿宋"/>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DQyNGQ3MjVmODIwNjJhZWZhZWMzNzA2NTU1MTYifQ=="/>
  </w:docVars>
  <w:rsids>
    <w:rsidRoot w:val="451A0672"/>
    <w:rsid w:val="0054099B"/>
    <w:rsid w:val="01953853"/>
    <w:rsid w:val="028A55F2"/>
    <w:rsid w:val="04396C96"/>
    <w:rsid w:val="058560D9"/>
    <w:rsid w:val="06567D7F"/>
    <w:rsid w:val="071E2DB5"/>
    <w:rsid w:val="074D16CC"/>
    <w:rsid w:val="0A8860AF"/>
    <w:rsid w:val="0C9051BB"/>
    <w:rsid w:val="0CB4643F"/>
    <w:rsid w:val="0CBF5922"/>
    <w:rsid w:val="0DFD1588"/>
    <w:rsid w:val="0E043566"/>
    <w:rsid w:val="0FF03693"/>
    <w:rsid w:val="158772E1"/>
    <w:rsid w:val="171B7640"/>
    <w:rsid w:val="173E3294"/>
    <w:rsid w:val="1838780B"/>
    <w:rsid w:val="188C5D3D"/>
    <w:rsid w:val="19823405"/>
    <w:rsid w:val="1B495361"/>
    <w:rsid w:val="1BA6370F"/>
    <w:rsid w:val="1BEB510B"/>
    <w:rsid w:val="1EF12201"/>
    <w:rsid w:val="1F152820"/>
    <w:rsid w:val="20133CB0"/>
    <w:rsid w:val="207812B9"/>
    <w:rsid w:val="211D20B1"/>
    <w:rsid w:val="218A27F1"/>
    <w:rsid w:val="259A2F17"/>
    <w:rsid w:val="25FE2257"/>
    <w:rsid w:val="26C22384"/>
    <w:rsid w:val="27DA05CF"/>
    <w:rsid w:val="280E56D5"/>
    <w:rsid w:val="2A215E74"/>
    <w:rsid w:val="2A303BCB"/>
    <w:rsid w:val="2B946036"/>
    <w:rsid w:val="2BAC16A6"/>
    <w:rsid w:val="2D8A0673"/>
    <w:rsid w:val="31EB03E1"/>
    <w:rsid w:val="33122EA7"/>
    <w:rsid w:val="36A55922"/>
    <w:rsid w:val="37034322"/>
    <w:rsid w:val="3948670F"/>
    <w:rsid w:val="39536159"/>
    <w:rsid w:val="3B23497C"/>
    <w:rsid w:val="3B8706E3"/>
    <w:rsid w:val="3C727C4B"/>
    <w:rsid w:val="3D0D7C96"/>
    <w:rsid w:val="3D233799"/>
    <w:rsid w:val="40882B2F"/>
    <w:rsid w:val="40A87A48"/>
    <w:rsid w:val="41F771DC"/>
    <w:rsid w:val="43801E11"/>
    <w:rsid w:val="439928C0"/>
    <w:rsid w:val="450758E7"/>
    <w:rsid w:val="451A0672"/>
    <w:rsid w:val="462F359C"/>
    <w:rsid w:val="46795011"/>
    <w:rsid w:val="47803C9B"/>
    <w:rsid w:val="492E2D82"/>
    <w:rsid w:val="49C959DC"/>
    <w:rsid w:val="4C7B794F"/>
    <w:rsid w:val="4CAF3021"/>
    <w:rsid w:val="4DEA16E7"/>
    <w:rsid w:val="4FEF0ED3"/>
    <w:rsid w:val="502726C7"/>
    <w:rsid w:val="50E47EB0"/>
    <w:rsid w:val="5237266E"/>
    <w:rsid w:val="53632130"/>
    <w:rsid w:val="54E127D3"/>
    <w:rsid w:val="55D900D3"/>
    <w:rsid w:val="56120F8E"/>
    <w:rsid w:val="563C0E4F"/>
    <w:rsid w:val="5787165E"/>
    <w:rsid w:val="584A2409"/>
    <w:rsid w:val="5BB44A8D"/>
    <w:rsid w:val="5D012E97"/>
    <w:rsid w:val="5D304312"/>
    <w:rsid w:val="5E2671B3"/>
    <w:rsid w:val="5EA85C91"/>
    <w:rsid w:val="602B7EC2"/>
    <w:rsid w:val="60995711"/>
    <w:rsid w:val="60DA6C99"/>
    <w:rsid w:val="61B76E7F"/>
    <w:rsid w:val="63221F57"/>
    <w:rsid w:val="633A7460"/>
    <w:rsid w:val="63DE523D"/>
    <w:rsid w:val="640853B4"/>
    <w:rsid w:val="649124C2"/>
    <w:rsid w:val="64C57C24"/>
    <w:rsid w:val="64D64B8B"/>
    <w:rsid w:val="65B22BE4"/>
    <w:rsid w:val="668A17FD"/>
    <w:rsid w:val="66B47C34"/>
    <w:rsid w:val="66D12052"/>
    <w:rsid w:val="690119C3"/>
    <w:rsid w:val="69072D19"/>
    <w:rsid w:val="6AF33532"/>
    <w:rsid w:val="6E0E5229"/>
    <w:rsid w:val="6F4D7D96"/>
    <w:rsid w:val="6FBC1224"/>
    <w:rsid w:val="75FC0BAC"/>
    <w:rsid w:val="76333199"/>
    <w:rsid w:val="77117271"/>
    <w:rsid w:val="778E2DEE"/>
    <w:rsid w:val="79B51F08"/>
    <w:rsid w:val="7B3A44CB"/>
    <w:rsid w:val="7B5E6812"/>
    <w:rsid w:val="7CBB6834"/>
    <w:rsid w:val="7D190AAB"/>
    <w:rsid w:val="7DDC2396"/>
    <w:rsid w:val="7DF00FD8"/>
    <w:rsid w:val="7EA61E8D"/>
    <w:rsid w:val="7EB86DC5"/>
    <w:rsid w:val="7ECB5A3C"/>
    <w:rsid w:val="7F4B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2"/>
    <w:basedOn w:val="1"/>
    <w:autoRedefine/>
    <w:qFormat/>
    <w:uiPriority w:val="0"/>
    <w:pPr>
      <w:spacing w:after="120" w:line="480" w:lineRule="auto"/>
    </w:pPr>
    <w:rPr>
      <w:rFonts w:ascii="Calibri" w:hAnsi="Calibri" w:eastAsia="宋体" w:cs="宋体"/>
    </w:rPr>
  </w:style>
  <w:style w:type="paragraph" w:styleId="4">
    <w:name w:val="Body Text Indent"/>
    <w:basedOn w:val="1"/>
    <w:next w:val="5"/>
    <w:autoRedefine/>
    <w:qFormat/>
    <w:uiPriority w:val="0"/>
    <w:pPr>
      <w:ind w:firstLine="720" w:firstLineChars="200"/>
      <w:jc w:val="center"/>
    </w:pPr>
    <w:rPr>
      <w:rFonts w:ascii="黑体" w:eastAsia="黑体"/>
      <w:sz w:val="36"/>
    </w:rPr>
  </w:style>
  <w:style w:type="paragraph" w:styleId="5">
    <w:name w:val="envelope return"/>
    <w:basedOn w:val="1"/>
    <w:autoRedefine/>
    <w:qFormat/>
    <w:uiPriority w:val="0"/>
    <w:pPr>
      <w:tabs>
        <w:tab w:val="left" w:pos="420"/>
      </w:tabs>
      <w:snapToGrid w:val="0"/>
    </w:pPr>
    <w:rPr>
      <w:rFonts w:ascii="Arial" w:hAnsi="Aria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next w:val="10"/>
    <w:autoRedefine/>
    <w:qFormat/>
    <w:uiPriority w:val="0"/>
    <w:pPr>
      <w:spacing w:after="120" w:line="240" w:lineRule="auto"/>
      <w:ind w:firstLine="420" w:firstLineChars="100"/>
      <w:jc w:val="both"/>
    </w:pPr>
    <w:rPr>
      <w:rFonts w:eastAsia="方正仿宋简体"/>
      <w:sz w:val="32"/>
    </w:rPr>
  </w:style>
  <w:style w:type="paragraph" w:styleId="10">
    <w:name w:val="Body Text First Indent 2"/>
    <w:basedOn w:val="4"/>
    <w:next w:val="9"/>
    <w:autoRedefine/>
    <w:qFormat/>
    <w:uiPriority w:val="0"/>
    <w:pPr>
      <w:spacing w:after="120" w:line="600" w:lineRule="exact"/>
      <w:ind w:left="420" w:leftChars="200" w:firstLine="420"/>
      <w:jc w:val="both"/>
    </w:pPr>
    <w:rPr>
      <w:rFonts w:ascii="Times New Roman" w:eastAsia="方正仿宋简体"/>
      <w:sz w:val="32"/>
      <w:lang w:val="en-US" w:eastAsia="zh-C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BodyText1I"/>
    <w:basedOn w:val="16"/>
    <w:next w:val="18"/>
    <w:autoRedefine/>
    <w:qFormat/>
    <w:uiPriority w:val="0"/>
    <w:pPr>
      <w:spacing w:after="0" w:line="600" w:lineRule="exact"/>
      <w:ind w:firstLine="420"/>
      <w:jc w:val="center"/>
      <w:textAlignment w:val="baseline"/>
    </w:pPr>
    <w:rPr>
      <w:rFonts w:ascii="Times New Roman" w:hAnsi="Times New Roman" w:eastAsia="宋体" w:cs="Times New Roman"/>
      <w:bCs/>
      <w:sz w:val="32"/>
      <w:szCs w:val="24"/>
    </w:rPr>
  </w:style>
  <w:style w:type="paragraph" w:customStyle="1" w:styleId="16">
    <w:name w:val="BodyText"/>
    <w:basedOn w:val="1"/>
    <w:next w:val="17"/>
    <w:autoRedefine/>
    <w:qFormat/>
    <w:uiPriority w:val="0"/>
    <w:pPr>
      <w:spacing w:after="120" w:line="240" w:lineRule="auto"/>
      <w:jc w:val="both"/>
      <w:textAlignment w:val="baseline"/>
    </w:pPr>
  </w:style>
  <w:style w:type="paragraph" w:customStyle="1" w:styleId="17">
    <w:name w:val="UserStyle_0"/>
    <w:basedOn w:val="1"/>
    <w:autoRedefine/>
    <w:qFormat/>
    <w:uiPriority w:val="0"/>
    <w:pPr>
      <w:spacing w:before="100" w:beforeAutospacing="1" w:after="120" w:line="480" w:lineRule="auto"/>
      <w:ind w:left="420" w:leftChars="200"/>
      <w:jc w:val="both"/>
      <w:textAlignment w:val="baseline"/>
    </w:pPr>
  </w:style>
  <w:style w:type="paragraph" w:customStyle="1" w:styleId="18">
    <w:name w:val="BodyText1I2"/>
    <w:basedOn w:val="19"/>
    <w:next w:val="15"/>
    <w:autoRedefine/>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19">
    <w:name w:val="BodyTextIndent"/>
    <w:basedOn w:val="1"/>
    <w:next w:val="20"/>
    <w:autoRedefine/>
    <w:qFormat/>
    <w:uiPriority w:val="0"/>
    <w:pPr>
      <w:ind w:firstLine="600" w:firstLineChars="200"/>
      <w:jc w:val="both"/>
      <w:textAlignment w:val="baseline"/>
    </w:pPr>
    <w:rPr>
      <w:kern w:val="2"/>
      <w:sz w:val="30"/>
      <w:szCs w:val="24"/>
      <w:lang w:val="en-US" w:eastAsia="zh-CN" w:bidi="ar-SA"/>
    </w:rPr>
  </w:style>
  <w:style w:type="paragraph" w:customStyle="1" w:styleId="20">
    <w:name w:val="EnvelopeReturn"/>
    <w:basedOn w:val="1"/>
    <w:autoRedefine/>
    <w:qFormat/>
    <w:uiPriority w:val="0"/>
    <w:pPr>
      <w:tabs>
        <w:tab w:val="left" w:pos="420"/>
      </w:tabs>
      <w:snapToGrid w:val="0"/>
      <w:jc w:val="both"/>
      <w:textAlignment w:val="baseline"/>
    </w:pPr>
    <w:rPr>
      <w:rFonts w:ascii="Arial" w:hAnsi="Arial"/>
      <w:kern w:val="2"/>
      <w:sz w:val="21"/>
      <w:szCs w:val="24"/>
      <w:lang w:val="en-US" w:eastAsia="zh-CN" w:bidi="ar-SA"/>
    </w:rPr>
  </w:style>
  <w:style w:type="paragraph" w:customStyle="1" w:styleId="21">
    <w:name w:val="p15"/>
    <w:basedOn w:val="1"/>
    <w:autoRedefine/>
    <w:qFormat/>
    <w:uiPriority w:val="0"/>
    <w:pPr>
      <w:widowControl/>
    </w:pPr>
    <w:rPr>
      <w:kern w:val="0"/>
      <w:szCs w:val="21"/>
    </w:rPr>
  </w:style>
  <w:style w:type="paragraph" w:customStyle="1" w:styleId="22">
    <w:name w:val="Body text|1"/>
    <w:autoRedefine/>
    <w:qFormat/>
    <w:uiPriority w:val="0"/>
    <w:pPr>
      <w:widowControl w:val="0"/>
      <w:shd w:val="clear" w:color="auto" w:fill="auto"/>
      <w:spacing w:line="454" w:lineRule="auto"/>
      <w:ind w:firstLine="400"/>
      <w:jc w:val="both"/>
    </w:pPr>
    <w:rPr>
      <w:rFonts w:ascii="宋体" w:hAnsi="宋体" w:eastAsia="宋体" w:cs="宋体"/>
      <w:kern w:val="2"/>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10</Characters>
  <Lines>0</Lines>
  <Paragraphs>0</Paragraphs>
  <TotalTime>2</TotalTime>
  <ScaleCrop>false</ScaleCrop>
  <LinksUpToDate>false</LinksUpToDate>
  <CharactersWithSpaces>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2020-05-27T07:03:00Z</dcterms:created>
  <dc:creator>天使的翅膀</dc:creator>
  <cp:lastModifiedBy>Administrator</cp:lastModifiedBy>
  <cp:lastPrinted>2024-05-08T08:42:05Z</cp:lastPrinted>
  <dcterms:modified xsi:type="dcterms:W3CDTF">2024-05-08T08:42:08Z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315545254_cloud</vt:lpwstr>
  </property>
  <property fmtid="{D5CDD505-2E9C-101B-9397-08002B2CF9AE}" pid="4" name="ICV">
    <vt:lpwstr>8E65221CF1714A7B896C009698EEBDFD_13</vt:lpwstr>
  </property>
</Properties>
</file>