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3" w:lineRule="atLeast"/>
        <w:ind w:left="0" w:right="0"/>
        <w:jc w:val="center"/>
        <w:rPr>
          <w:b w:val="0"/>
          <w:bCs w:val="0"/>
          <w:sz w:val="48"/>
          <w:szCs w:val="48"/>
        </w:rPr>
      </w:pPr>
      <w:bookmarkStart w:id="0" w:name="_GoBack"/>
      <w:r>
        <w:rPr>
          <w:b w:val="0"/>
          <w:bCs w:val="0"/>
          <w:sz w:val="48"/>
          <w:szCs w:val="48"/>
          <w:bdr w:val="none" w:color="auto" w:sz="0" w:space="0"/>
        </w:rPr>
        <w:t>明月湾建设项目工程第二次批后公告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right="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建设工程规划许可证编号：建字第411426202200012(建筑)号、建字第4114262024GG0004414(建筑)号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建设单位：中商奥特莱斯（夏邑县）置业有限公司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项目名称：明月湾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项目位置：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夏邑县东三环路南段东侧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总用地面积：59023.2平方米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已申请用地面积：44138.94平方米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总建筑面积：155254.5平方米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已申请总建筑面积：114421.29平方米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地上建筑面积：128264.2平方米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已申请地上建筑面积：93414.08平方米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计容建筑面积：128223.86平方米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地下建筑面积：26990.3平方米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已申请地下建筑面积：21007.21平方米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基底面积：13652.01平方米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建筑物栋数：25栋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已申请建筑物栋数：18栋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容积率：2.172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建筑密度：23.13%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绿地率：32.03%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机动车停车位：1153辆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非机动车停车位：1145辆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公告期限直至项目规划竣工核实合格。若有改变公告内容事宜，公民和利益关系人都有权利和义务监督和举报。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电话：0370—6678061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举报信请寄：县自然资源局执法监察二队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邮编：476400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夏邑县规划中心监制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ZDc5NGNlMTU4ZTNlODJiMDU3NDE1NTQ2MTYyMWEifQ=="/>
  </w:docVars>
  <w:rsids>
    <w:rsidRoot w:val="07045ABE"/>
    <w:rsid w:val="070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2024-05-20T07:38:00Z</dcterms:created>
  <dc:creator>高傲的气质</dc:creator>
  <cp:lastModifiedBy>高傲的气质</cp:lastModifiedBy>
  <dcterms:modified xsi:type="dcterms:W3CDTF">2024-05-20T07:40:12Z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B4FB0B7644C24A49A2DFC1F99397F511_11</vt:lpwstr>
  </property>
</Properties>
</file>