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0F4310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夏邑县民政局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eastAsia="zh-CN"/>
        </w:rPr>
        <w:t>关于202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eastAsia="zh-CN"/>
        </w:rPr>
        <w:t>年度中央和省级福利彩票公益金使用情况的公告</w:t>
      </w:r>
    </w:p>
    <w:p w14:paraId="49232744">
      <w:pPr>
        <w:autoSpaceDN w:val="0"/>
        <w:spacing w:line="555" w:lineRule="atLeast"/>
        <w:ind w:firstLine="645"/>
        <w:jc w:val="both"/>
        <w:textAlignment w:val="top"/>
        <w:rPr>
          <w:rFonts w:hint="default" w:ascii="仿宋_GB2312" w:hAnsi="仿宋_GB2312" w:eastAsia="仿宋_GB2312"/>
          <w:i w:val="0"/>
          <w:color w:val="000000"/>
          <w:spacing w:val="0"/>
          <w:sz w:val="31"/>
          <w:shd w:val="clear" w:color="auto" w:fill="FFFFFF"/>
          <w:lang w:eastAsia="zh-CN"/>
        </w:rPr>
      </w:pPr>
    </w:p>
    <w:p w14:paraId="0DDB8320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按照《彩票管理条例》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《中央集中彩票公益金支持社会福利事业专项资金管理办法》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《民政部彩票公益金使用管理信息公开办法》《河南省彩票公益金使用管理办法》等有关规定，现将202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年度中央和省级福利彩票公益金使用情况公告如下：</w:t>
      </w:r>
    </w:p>
    <w:p w14:paraId="3B9726F1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一、中央集中彩票公益金支持社会福利事业专项资金情况</w:t>
      </w:r>
    </w:p>
    <w:p w14:paraId="209E0776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根据《河南省财政厅 河南省民政厅关于提前下达2023年中央集中彩票公益金支持社会福利事业专项资金预算的通知》（豫财社〔2022〕192号）、《河南省财政厅 河南省民政厅关于下达2023年中央集中彩票公益金支持社会福利事业专项资金预算的通知》（豫财社〔2023〕119号），2023年共下达我县中央集中彩票公益金支持社会福利事业专项资金16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资金用于支持儿童福利类项目。</w:t>
      </w:r>
    </w:p>
    <w:p w14:paraId="162FEC54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top"/>
        <w:outlineLvl w:val="9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eastAsia="楷体_GB2312" w:cs="Times New Roman"/>
          <w:sz w:val="32"/>
          <w:szCs w:val="32"/>
          <w:lang w:eastAsia="zh-CN"/>
        </w:rPr>
        <w:t>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一</w:t>
      </w:r>
      <w:r>
        <w:rPr>
          <w:rFonts w:hint="eastAsia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儿童福利类项目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万元。</w:t>
      </w:r>
    </w:p>
    <w:p w14:paraId="68ACC510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top"/>
        <w:outlineLvl w:val="9"/>
        <w:rPr>
          <w:rFonts w:hint="eastAsia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1、孤儿助学项目16万元。该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目由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儿童福利股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负责实施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资金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用于</w:t>
      </w:r>
      <w:r>
        <w:rPr>
          <w:rFonts w:hint="eastAsia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支持已被认定为孤儿身份、年满18周岁后在普通全日制本科、专科学校、高等职业学校等高等院校及中等职业学校就读的中专、大专、本科学生和硕士研究生提供助学金，资助孤儿完成学业。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项目周期为：202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项目已实施完成。</w:t>
      </w:r>
      <w:r>
        <w:rPr>
          <w:rFonts w:hint="eastAsia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通过项目实施，为孤儿接受中专及高等教育提供了资金保障，有效地保证了孤儿正常的学习生活。</w:t>
      </w:r>
    </w:p>
    <w:p w14:paraId="2B6A4D2F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top"/>
        <w:outlineLvl w:val="9"/>
        <w:rPr>
          <w:rFonts w:hint="default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项目联络人：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刘党委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联系电话：0370-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-6281528</w:t>
      </w:r>
    </w:p>
    <w:p w14:paraId="7BA18055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eastAsia="黑体" w:cs="Times New Roman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、省级福利彩票公益金情况</w:t>
      </w:r>
    </w:p>
    <w:p w14:paraId="2BBABF51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根据《河南省财政厅 河南省民政厅关于下达2023年省级福利彩票公益金的通知》（豫财综〔202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号）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《河南省财政厅 河南省民政厅关于下达2023年省级彩票公益金的通知》（豫财综〔202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〕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51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号）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年共下达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我县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省级福利彩票公益金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378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万元，资金用于支持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乡镇敬老院转型区域养老服务中心补助项目和返还福彩公益金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 w14:paraId="21B516FB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eastAsia="楷体_GB2312" w:cs="Times New Roman"/>
          <w:sz w:val="32"/>
          <w:szCs w:val="32"/>
          <w:highlight w:val="none"/>
          <w:lang w:eastAsia="zh-CN"/>
        </w:rPr>
      </w:pPr>
      <w:r>
        <w:rPr>
          <w:rFonts w:hint="default" w:eastAsia="楷体_GB2312" w:cs="Times New Roman"/>
          <w:sz w:val="32"/>
          <w:szCs w:val="32"/>
          <w:highlight w:val="none"/>
          <w:lang w:eastAsia="zh-CN"/>
        </w:rPr>
        <w:t>（一）老年人福利类项目</w:t>
      </w:r>
      <w:r>
        <w:rPr>
          <w:rFonts w:hint="eastAsia" w:eastAsia="楷体_GB2312" w:cs="Times New Roman"/>
          <w:sz w:val="32"/>
          <w:szCs w:val="32"/>
          <w:highlight w:val="none"/>
          <w:lang w:val="en-US" w:eastAsia="zh-CN"/>
        </w:rPr>
        <w:t>50</w:t>
      </w:r>
      <w:r>
        <w:rPr>
          <w:rFonts w:hint="default" w:eastAsia="楷体_GB2312" w:cs="Times New Roman"/>
          <w:sz w:val="32"/>
          <w:szCs w:val="32"/>
          <w:highlight w:val="none"/>
          <w:lang w:eastAsia="zh-CN"/>
        </w:rPr>
        <w:t>万元。</w:t>
      </w:r>
    </w:p>
    <w:p w14:paraId="6A1C9C63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1、乡镇敬老院转型区域养老服务中心建设项目50.00万元。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该项目由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社会股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负责实施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资金主要用于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李集镇敬老院转型为区域性养老服务中心建设项目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。项目周期为：202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项目已实施完毕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通过项目实施，增强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了李集镇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敬老院指导和服务功能，为周边老年人提供养老服务。</w:t>
      </w:r>
    </w:p>
    <w:p w14:paraId="6BE43C97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项目联络人：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马佳坤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联系电话：0370--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6210226</w:t>
      </w:r>
    </w:p>
    <w:p w14:paraId="3EB05E4A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top"/>
        <w:outlineLvl w:val="9"/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eastAsia="楷体_GB2312" w:cs="Times New Roman"/>
          <w:sz w:val="32"/>
          <w:szCs w:val="32"/>
          <w:highlight w:val="none"/>
          <w:lang w:eastAsia="zh-CN"/>
        </w:rPr>
        <w:t>返还</w:t>
      </w:r>
      <w:r>
        <w:rPr>
          <w:rFonts w:hint="eastAsia" w:eastAsia="楷体_GB2312" w:cs="Times New Roman"/>
          <w:sz w:val="32"/>
          <w:szCs w:val="32"/>
          <w:highlight w:val="none"/>
          <w:lang w:val="en-US" w:eastAsia="zh-CN"/>
        </w:rPr>
        <w:t>福彩</w:t>
      </w:r>
      <w:r>
        <w:rPr>
          <w:rFonts w:hint="default" w:eastAsia="楷体_GB2312" w:cs="Times New Roman"/>
          <w:sz w:val="32"/>
          <w:szCs w:val="32"/>
          <w:highlight w:val="none"/>
          <w:lang w:eastAsia="zh-CN"/>
        </w:rPr>
        <w:t>公益金</w:t>
      </w:r>
      <w:r>
        <w:rPr>
          <w:rFonts w:hint="eastAsia" w:eastAsia="楷体_GB2312" w:cs="Times New Roman"/>
          <w:sz w:val="32"/>
          <w:szCs w:val="32"/>
          <w:highlight w:val="none"/>
          <w:lang w:val="en-US" w:eastAsia="zh-CN"/>
        </w:rPr>
        <w:t>328</w:t>
      </w:r>
      <w:r>
        <w:rPr>
          <w:rFonts w:hint="default" w:eastAsia="楷体_GB2312" w:cs="Times New Roman"/>
          <w:sz w:val="32"/>
          <w:szCs w:val="32"/>
          <w:highlight w:val="none"/>
          <w:lang w:eastAsia="zh-CN"/>
        </w:rPr>
        <w:t>万元</w:t>
      </w:r>
      <w:r>
        <w:rPr>
          <w:rFonts w:hint="eastAsia" w:eastAsia="楷体_GB2312" w:cs="Times New Roman"/>
          <w:sz w:val="32"/>
          <w:szCs w:val="32"/>
          <w:highlight w:val="none"/>
          <w:lang w:eastAsia="zh-CN"/>
        </w:rPr>
        <w:t>。</w:t>
      </w:r>
    </w:p>
    <w:p w14:paraId="53552315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top"/>
        <w:outlineLvl w:val="9"/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1、2023年特殊困难老年人家庭适老化改造项目资金153.37万元。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该项目由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养老服务综合股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负责实施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资金主要用于支持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改善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特殊困难老年人家庭适老化改造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等基础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设施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项目周期为：202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项目已实施完毕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通过项目实施，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改善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老年人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居住环境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提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升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老</w:t>
      </w:r>
      <w:r>
        <w:rPr>
          <w:rFonts w:hint="eastAsia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spacing w:val="0"/>
          <w:sz w:val="32"/>
          <w:szCs w:val="32"/>
          <w:highlight w:val="none"/>
          <w:shd w:val="clear" w:color="auto" w:fill="FFFFFF"/>
          <w:lang w:eastAsia="zh-CN"/>
        </w:rPr>
        <w:t>人生活质量。</w:t>
      </w:r>
    </w:p>
    <w:p w14:paraId="27A950ED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项目联络人：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何向东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 xml:space="preserve">   联系电话：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6219129</w:t>
      </w:r>
    </w:p>
    <w:p w14:paraId="0982C908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2、乡镇社工站购买服务项目资金26.80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万元。该项目由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夏邑县慈善社工股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负责实施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，资金主要用于支持改善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社会救助对象调查、心理咨询干预等服务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。项目周期为：2023年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月-2024年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月，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项目正在实施之中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通过项目实施，增强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了救助对象的幸福感、安全感、获得感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 w14:paraId="4C4E8411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项目联络人：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张志成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 xml:space="preserve">   联系电话：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6219616</w:t>
      </w:r>
    </w:p>
    <w:p w14:paraId="0413625F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农村重度残疾人照护服务设施完善提升项目资金29.16万元。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该项目由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儿童福利股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负责实施，资金主要用于支持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残疾人照护服务设施建设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。项目周期为：202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年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月-2024年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月，项目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实施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完毕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通过项目实施，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补齐了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农村重度残疾人照护服务设施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建设短板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 w14:paraId="75965647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项目联络人：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刘党委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 xml:space="preserve">   联系电话：0370--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6281528</w:t>
      </w:r>
    </w:p>
    <w:p w14:paraId="4B5FA1B7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4、养老机构智慧用电项目资金29.90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万元。该项目由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养老服务综合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股负责实施，资金主要用于支持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养老机构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智慧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用电系统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设施配置。项目周期为：202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年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月-2024年7月，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项目正在实施之中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。通过项目实施，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能实现安全隐患大幅降低，能耗有效节约，实现智能化监控，为养老服务提供更可靠保障。</w:t>
      </w:r>
    </w:p>
    <w:p w14:paraId="5BA8A335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项目联络人：</w:t>
      </w:r>
      <w:r>
        <w:rPr>
          <w:rFonts w:hint="eastAsia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刘鹏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 xml:space="preserve">    联系电话：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0370--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6667855</w:t>
      </w:r>
    </w:p>
    <w:p w14:paraId="63E0BA51">
      <w:pPr>
        <w:widowControl/>
        <w:numPr>
          <w:ilvl w:val="0"/>
          <w:numId w:val="1"/>
        </w:numPr>
        <w:wordWrap/>
        <w:autoSpaceDN w:val="0"/>
        <w:adjustRightInd/>
        <w:snapToGrid/>
        <w:spacing w:before="0" w:after="0" w:line="580" w:lineRule="exact"/>
        <w:ind w:left="320" w:leftChars="160" w:right="0" w:firstLine="320" w:firstLineChars="100"/>
        <w:jc w:val="left"/>
        <w:textAlignment w:val="top"/>
        <w:outlineLvl w:val="9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老年助餐项目资金88.77万元。 </w:t>
      </w:r>
      <w:bookmarkStart w:id="0" w:name="_GoBack"/>
      <w:bookmarkEnd w:id="0"/>
    </w:p>
    <w:p w14:paraId="1F57C9D1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right="0" w:rightChars="0"/>
        <w:jc w:val="left"/>
        <w:textAlignment w:val="top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该项目由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养老服务综合股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负责实施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资金主要用于老年人助餐服务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。项目周期为：202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项目正在谋划推进之中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通过项目实施能有效解决老年人用餐难题。增强老人的获得感、安全感、幸福感，增强社区凝聚力，促进社会和谐发展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 w14:paraId="628D28C3">
      <w:pPr>
        <w:widowControl/>
        <w:numPr>
          <w:ilvl w:val="0"/>
          <w:numId w:val="0"/>
        </w:numPr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项目联络人：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何向东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联系电话：0370--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6219129</w:t>
      </w:r>
    </w:p>
    <w:p w14:paraId="01CD4DB8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特此公告。</w:t>
      </w:r>
    </w:p>
    <w:p w14:paraId="342C1F42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</w:pPr>
    </w:p>
    <w:p w14:paraId="3A5B7F94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附件：</w:t>
      </w:r>
    </w:p>
    <w:p w14:paraId="1AF914A6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jc w:val="left"/>
        <w:textAlignment w:val="top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1</w:t>
      </w:r>
      <w:r>
        <w:rPr>
          <w:rFonts w:hint="eastAsia" w:eastAsia="仿宋_GB2312" w:cs="Times New Roman"/>
          <w:b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b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中央集中彩票公益金</w:t>
      </w: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支持社会福利事业专项资金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绩效自评表</w:t>
      </w:r>
    </w:p>
    <w:p w14:paraId="09311740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2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b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  <w:lang w:eastAsia="zh-CN"/>
        </w:rPr>
        <w:t>年省级福利彩票公益金项目绩效自评表</w:t>
      </w:r>
    </w:p>
    <w:p w14:paraId="18A8A42E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</w:t>
      </w:r>
    </w:p>
    <w:p w14:paraId="21643A1E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718E50D6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                                  2024年6月18日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2FF776"/>
    <w:multiLevelType w:val="singleLevel"/>
    <w:tmpl w:val="C92FF776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mMjRkOTI2MGM3Y2QxNTU3ZGI5ZDU1YWJkOTFmNDAifQ=="/>
  </w:docVars>
  <w:rsids>
    <w:rsidRoot w:val="00000000"/>
    <w:rsid w:val="01350D46"/>
    <w:rsid w:val="0E010CC3"/>
    <w:rsid w:val="0F987405"/>
    <w:rsid w:val="1651030E"/>
    <w:rsid w:val="19B906A4"/>
    <w:rsid w:val="1D9E208B"/>
    <w:rsid w:val="25987D07"/>
    <w:rsid w:val="26EC335B"/>
    <w:rsid w:val="2A635E4B"/>
    <w:rsid w:val="2D4977D9"/>
    <w:rsid w:val="2DED6716"/>
    <w:rsid w:val="359B776F"/>
    <w:rsid w:val="36E0506A"/>
    <w:rsid w:val="37D56B99"/>
    <w:rsid w:val="3C736546"/>
    <w:rsid w:val="3D121CF5"/>
    <w:rsid w:val="3DD60F75"/>
    <w:rsid w:val="3F087854"/>
    <w:rsid w:val="43E51FE6"/>
    <w:rsid w:val="4565155C"/>
    <w:rsid w:val="48937E2F"/>
    <w:rsid w:val="49177011"/>
    <w:rsid w:val="49595541"/>
    <w:rsid w:val="4C9444D5"/>
    <w:rsid w:val="4DAE5A6A"/>
    <w:rsid w:val="4F3124AF"/>
    <w:rsid w:val="4FB54E8E"/>
    <w:rsid w:val="50AC44E3"/>
    <w:rsid w:val="56652AE9"/>
    <w:rsid w:val="5B5E462C"/>
    <w:rsid w:val="5C166CB5"/>
    <w:rsid w:val="5E991D05"/>
    <w:rsid w:val="63686489"/>
    <w:rsid w:val="63B00856"/>
    <w:rsid w:val="648F5856"/>
    <w:rsid w:val="64A9483D"/>
    <w:rsid w:val="688C0E0F"/>
    <w:rsid w:val="6AF26B3F"/>
    <w:rsid w:val="6E1B63AC"/>
    <w:rsid w:val="6E9F0D8B"/>
    <w:rsid w:val="6F23376B"/>
    <w:rsid w:val="7B8A6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1593</Words>
  <Characters>1819</Characters>
  <Lines>0</Lines>
  <Paragraphs>0</Paragraphs>
  <TotalTime>10</TotalTime>
  <ScaleCrop>false</ScaleCrop>
  <LinksUpToDate>false</LinksUpToDate>
  <CharactersWithSpaces>1886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Administrator</dc:creator>
  <cp:lastModifiedBy>Administrator</cp:lastModifiedBy>
  <dcterms:modified xsi:type="dcterms:W3CDTF">2024-06-25T08:27:56Z</dcterms:modified>
  <dc:title>按照《彩票管理条例》《中央集中彩票公益金支持社会福利事业专项资金管理办法》《民政部彩票公益金使用管理信息公开办法》《河南省彩票公益金使用管理办法》等有关规定，现将2021年度中央和省级福利彩票公益金使用情况公告如下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83A37148DEA743D5BBE2CB583C7855CD_12</vt:lpwstr>
  </property>
</Properties>
</file>